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44EE8">
      <w:pPr>
        <w:jc w:val="center"/>
        <w:rPr>
          <w:rFonts w:asciiTheme="minorEastAsia" w:hAnsiTheme="minorEastAsia"/>
          <w:b/>
          <w:sz w:val="52"/>
          <w:szCs w:val="52"/>
        </w:rPr>
      </w:pPr>
      <w:r>
        <w:rPr>
          <w:sz w:val="52"/>
        </w:rPr>
        <mc:AlternateContent>
          <mc:Choice Requires="wps">
            <w:drawing>
              <wp:anchor distT="0" distB="0" distL="114300" distR="114300" simplePos="0" relativeHeight="251659264" behindDoc="0" locked="0" layoutInCell="1" allowOverlap="1">
                <wp:simplePos x="0" y="0"/>
                <wp:positionH relativeFrom="column">
                  <wp:posOffset>-323215</wp:posOffset>
                </wp:positionH>
                <wp:positionV relativeFrom="paragraph">
                  <wp:posOffset>-641350</wp:posOffset>
                </wp:positionV>
                <wp:extent cx="6180455" cy="719455"/>
                <wp:effectExtent l="0" t="0" r="6985" b="12065"/>
                <wp:wrapNone/>
                <wp:docPr id="1" name="文本框 2"/>
                <wp:cNvGraphicFramePr/>
                <a:graphic xmlns:a="http://schemas.openxmlformats.org/drawingml/2006/main">
                  <a:graphicData uri="http://schemas.microsoft.com/office/word/2010/wordprocessingShape">
                    <wps:wsp>
                      <wps:cNvSpPr txBox="1"/>
                      <wps:spPr>
                        <a:xfrm>
                          <a:off x="0" y="0"/>
                          <a:ext cx="6180455" cy="719455"/>
                        </a:xfrm>
                        <a:prstGeom prst="rect">
                          <a:avLst/>
                        </a:prstGeom>
                        <a:solidFill>
                          <a:srgbClr val="FFFFFF"/>
                        </a:solidFill>
                        <a:ln>
                          <a:noFill/>
                        </a:ln>
                        <a:effectLst/>
                      </wps:spPr>
                      <wps:txbx>
                        <w:txbxContent>
                          <w:p w14:paraId="46ADD31D"/>
                        </w:txbxContent>
                      </wps:txbx>
                      <wps:bodyPr upright="1"/>
                    </wps:wsp>
                  </a:graphicData>
                </a:graphic>
              </wp:anchor>
            </w:drawing>
          </mc:Choice>
          <mc:Fallback>
            <w:pict>
              <v:shape id="文本框 2" o:spid="_x0000_s1026" o:spt="202" type="#_x0000_t202" style="position:absolute;left:0pt;margin-left:-25.45pt;margin-top:-50.5pt;height:56.65pt;width:486.65pt;z-index:251659264;mso-width-relative:page;mso-height-relative:page;" fillcolor="#FFFFFF" filled="t" stroked="f" coordsize="21600,21600" o:gfxdata="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EaAI5HYAAAACwEAAA8AAAAAAAAAAQAgAAAAIgAAAGRycy9kb3ducmV2&#10;LnhtbFBLAQIUABQAAAAIAIdO4kD5bk8bwwEAAIUDAAAOAAAAAAAAAAEAIAAAACcBAABkcnMvZTJv&#10;RG9jLnhtbFBLBQYAAAAABgAGAFkBAABcBQAAAAA=&#10;">
                <v:fill on="t" focussize="0,0"/>
                <v:stroke on="f"/>
                <v:imagedata o:title=""/>
                <o:lock v:ext="edit" aspectratio="f"/>
                <v:textbox>
                  <w:txbxContent>
                    <w:p w14:paraId="46ADD31D"/>
                  </w:txbxContent>
                </v:textbox>
              </v:shape>
            </w:pict>
          </mc:Fallback>
        </mc:AlternateContent>
      </w:r>
    </w:p>
    <w:p w14:paraId="75C4653D">
      <w:pPr>
        <w:spacing w:line="480" w:lineRule="auto"/>
        <w:jc w:val="center"/>
        <w:rPr>
          <w:rFonts w:asciiTheme="minorEastAsia" w:hAnsiTheme="minorEastAsia"/>
          <w:b/>
          <w:sz w:val="52"/>
          <w:szCs w:val="52"/>
        </w:rPr>
      </w:pPr>
    </w:p>
    <w:p w14:paraId="7A3BC27E">
      <w:pPr>
        <w:spacing w:line="1100" w:lineRule="exact"/>
        <w:jc w:val="center"/>
        <w:rPr>
          <w:rFonts w:ascii="微软雅黑" w:hAnsi="微软雅黑" w:eastAsia="微软雅黑" w:cs="微软雅黑"/>
          <w:b/>
          <w:spacing w:val="20"/>
          <w:sz w:val="52"/>
          <w:szCs w:val="52"/>
        </w:rPr>
      </w:pPr>
      <w:r>
        <w:rPr>
          <w:rFonts w:hint="eastAsia" w:ascii="微软雅黑" w:hAnsi="微软雅黑" w:eastAsia="微软雅黑" w:cs="微软雅黑"/>
          <w:b/>
          <w:spacing w:val="20"/>
          <w:sz w:val="52"/>
          <w:szCs w:val="52"/>
          <w:lang w:eastAsia="zh-CN"/>
        </w:rPr>
        <w:t>202</w:t>
      </w:r>
      <w:r>
        <w:rPr>
          <w:rFonts w:hint="eastAsia" w:ascii="微软雅黑" w:hAnsi="微软雅黑" w:eastAsia="微软雅黑" w:cs="微软雅黑"/>
          <w:b/>
          <w:spacing w:val="20"/>
          <w:sz w:val="52"/>
          <w:szCs w:val="52"/>
          <w:lang w:val="en-US" w:eastAsia="zh-CN"/>
        </w:rPr>
        <w:t>5</w:t>
      </w:r>
      <w:r>
        <w:rPr>
          <w:rFonts w:hint="eastAsia" w:ascii="微软雅黑" w:hAnsi="微软雅黑" w:eastAsia="微软雅黑" w:cs="微软雅黑"/>
          <w:b/>
          <w:spacing w:val="20"/>
          <w:sz w:val="52"/>
          <w:szCs w:val="52"/>
        </w:rPr>
        <w:t>年企业社会责任报告</w:t>
      </w:r>
    </w:p>
    <w:p w14:paraId="44F67220">
      <w:pPr>
        <w:jc w:val="center"/>
        <w:rPr>
          <w:rFonts w:ascii="微软雅黑" w:hAnsi="微软雅黑" w:eastAsia="微软雅黑"/>
          <w:b/>
          <w:color w:val="FFFFFF" w:themeColor="background1"/>
          <w:spacing w:val="11"/>
          <w:sz w:val="52"/>
          <w:szCs w:val="52"/>
          <w14:textFill>
            <w14:solidFill>
              <w14:schemeClr w14:val="bg1"/>
            </w14:solidFill>
          </w14:textFill>
        </w:rPr>
      </w:pPr>
    </w:p>
    <w:p w14:paraId="54B39BD6">
      <w:pPr>
        <w:jc w:val="center"/>
        <w:rPr>
          <w:rFonts w:ascii="微软雅黑" w:hAnsi="微软雅黑" w:eastAsia="微软雅黑"/>
          <w:b/>
          <w:spacing w:val="11"/>
          <w:sz w:val="56"/>
          <w:szCs w:val="56"/>
        </w:rPr>
      </w:pPr>
    </w:p>
    <w:p w14:paraId="723EF0C3">
      <w:pPr>
        <w:jc w:val="center"/>
        <w:rPr>
          <w:rFonts w:ascii="微软雅黑" w:hAnsi="微软雅黑" w:eastAsia="微软雅黑"/>
          <w:b/>
          <w:spacing w:val="11"/>
          <w:sz w:val="56"/>
          <w:szCs w:val="56"/>
        </w:rPr>
      </w:pPr>
    </w:p>
    <w:p w14:paraId="4E0B3BD9">
      <w:pPr>
        <w:jc w:val="center"/>
        <w:rPr>
          <w:rFonts w:ascii="微软雅黑" w:hAnsi="微软雅黑" w:eastAsia="微软雅黑"/>
          <w:b/>
          <w:spacing w:val="11"/>
          <w:sz w:val="56"/>
          <w:szCs w:val="56"/>
        </w:rPr>
      </w:pPr>
    </w:p>
    <w:p w14:paraId="7F39012D">
      <w:pPr>
        <w:jc w:val="center"/>
        <w:rPr>
          <w:rFonts w:ascii="微软雅黑" w:hAnsi="微软雅黑" w:eastAsia="微软雅黑"/>
          <w:b/>
          <w:spacing w:val="11"/>
          <w:sz w:val="56"/>
          <w:szCs w:val="56"/>
        </w:rPr>
      </w:pPr>
    </w:p>
    <w:p w14:paraId="5DDF7640">
      <w:pPr>
        <w:jc w:val="center"/>
        <w:rPr>
          <w:rFonts w:ascii="微软雅黑" w:hAnsi="微软雅黑" w:eastAsia="微软雅黑"/>
          <w:b/>
          <w:spacing w:val="11"/>
          <w:sz w:val="56"/>
          <w:szCs w:val="56"/>
        </w:rPr>
      </w:pPr>
    </w:p>
    <w:p w14:paraId="75812C4D">
      <w:pPr>
        <w:jc w:val="center"/>
        <w:rPr>
          <w:rFonts w:ascii="微软雅黑" w:hAnsi="微软雅黑" w:eastAsia="微软雅黑"/>
          <w:b/>
          <w:spacing w:val="11"/>
          <w:sz w:val="56"/>
          <w:szCs w:val="56"/>
        </w:rPr>
      </w:pPr>
    </w:p>
    <w:p w14:paraId="504B3AEC">
      <w:pPr>
        <w:rPr>
          <w:rFonts w:asciiTheme="minorEastAsia" w:hAnsiTheme="minorEastAsia" w:cstheme="minorEastAsia"/>
          <w:bCs/>
          <w:szCs w:val="21"/>
        </w:rPr>
      </w:pPr>
    </w:p>
    <w:p w14:paraId="5A5D7D64">
      <w:pPr>
        <w:spacing w:line="520" w:lineRule="exact"/>
        <w:jc w:val="center"/>
        <w:rPr>
          <w:rFonts w:asciiTheme="minorEastAsia" w:hAnsiTheme="minorEastAsia" w:cstheme="minorEastAsia"/>
          <w:b/>
          <w:bCs/>
          <w:spacing w:val="6"/>
          <w:sz w:val="36"/>
          <w:szCs w:val="36"/>
        </w:rPr>
      </w:pPr>
    </w:p>
    <w:p w14:paraId="11C06D4A">
      <w:pPr>
        <w:spacing w:line="520" w:lineRule="exact"/>
        <w:jc w:val="center"/>
        <w:rPr>
          <w:rFonts w:asciiTheme="minorEastAsia" w:hAnsiTheme="minorEastAsia" w:cstheme="minorEastAsia"/>
          <w:b/>
          <w:bCs/>
          <w:spacing w:val="11"/>
          <w:sz w:val="36"/>
          <w:szCs w:val="36"/>
        </w:rPr>
      </w:pPr>
      <w:r>
        <w:rPr>
          <w:rFonts w:hint="eastAsia" w:asciiTheme="minorEastAsia" w:hAnsiTheme="minorEastAsia" w:cstheme="minorEastAsia"/>
          <w:b/>
          <w:bCs/>
          <w:spacing w:val="6"/>
          <w:sz w:val="36"/>
          <w:szCs w:val="36"/>
        </w:rPr>
        <w:t>桐庐宇鑫汽配有限公司</w:t>
      </w:r>
    </w:p>
    <w:p w14:paraId="2A5001FF">
      <w:pPr>
        <w:spacing w:line="720" w:lineRule="exact"/>
        <w:jc w:val="center"/>
        <w:rPr>
          <w:rFonts w:asciiTheme="minorEastAsia" w:hAnsiTheme="minorEastAsia" w:cstheme="minorEastAsia"/>
          <w:bCs/>
          <w:spacing w:val="20"/>
          <w:sz w:val="36"/>
          <w:szCs w:val="36"/>
        </w:rPr>
      </w:pPr>
      <w:r>
        <w:rPr>
          <w:rFonts w:hint="eastAsia" w:asciiTheme="minorEastAsia" w:hAnsiTheme="minorEastAsia" w:cstheme="minorEastAsia"/>
          <w:b/>
          <w:bCs/>
          <w:spacing w:val="20"/>
          <w:sz w:val="36"/>
          <w:szCs w:val="36"/>
        </w:rPr>
        <w:t>二〇</w:t>
      </w:r>
      <w:r>
        <w:rPr>
          <w:rFonts w:hint="eastAsia" w:asciiTheme="minorEastAsia" w:hAnsiTheme="minorEastAsia" w:cstheme="minorEastAsia"/>
          <w:b/>
          <w:bCs/>
          <w:spacing w:val="20"/>
          <w:sz w:val="36"/>
          <w:szCs w:val="36"/>
          <w:lang w:val="en-US" w:eastAsia="zh-CN"/>
        </w:rPr>
        <w:t>二六</w:t>
      </w:r>
      <w:r>
        <w:rPr>
          <w:rFonts w:hint="eastAsia" w:asciiTheme="minorEastAsia" w:hAnsiTheme="minorEastAsia" w:cstheme="minorEastAsia"/>
          <w:b/>
          <w:bCs/>
          <w:spacing w:val="20"/>
          <w:sz w:val="36"/>
          <w:szCs w:val="36"/>
        </w:rPr>
        <w:t>年</w:t>
      </w:r>
      <w:r>
        <w:rPr>
          <w:rFonts w:hint="eastAsia" w:asciiTheme="minorEastAsia" w:hAnsiTheme="minorEastAsia" w:cstheme="minorEastAsia"/>
          <w:b/>
          <w:bCs/>
          <w:spacing w:val="20"/>
          <w:sz w:val="36"/>
          <w:szCs w:val="36"/>
          <w:lang w:val="en-US" w:eastAsia="zh-CN"/>
        </w:rPr>
        <w:t>五</w:t>
      </w:r>
      <w:r>
        <w:rPr>
          <w:rFonts w:hint="eastAsia" w:asciiTheme="minorEastAsia" w:hAnsiTheme="minorEastAsia" w:cstheme="minorEastAsia"/>
          <w:b/>
          <w:bCs/>
          <w:spacing w:val="20"/>
          <w:sz w:val="36"/>
          <w:szCs w:val="36"/>
        </w:rPr>
        <w:t>月</w:t>
      </w:r>
    </w:p>
    <w:p w14:paraId="05FE7DAB">
      <w:pPr>
        <w:autoSpaceDE w:val="0"/>
        <w:autoSpaceDN w:val="0"/>
        <w:adjustRightInd w:val="0"/>
        <w:spacing w:beforeLines="50" w:line="400" w:lineRule="exact"/>
        <w:ind w:left="420" w:firstLine="3360" w:firstLineChars="700"/>
        <w:jc w:val="left"/>
        <w:rPr>
          <w:rFonts w:ascii="黑体" w:eastAsia="黑体" w:cs="黑体"/>
          <w:kern w:val="0"/>
          <w:sz w:val="48"/>
          <w:szCs w:val="48"/>
        </w:rPr>
        <w:sectPr>
          <w:headerReference r:id="rId3" w:type="default"/>
          <w:footerReference r:id="rId4" w:type="default"/>
          <w:pgSz w:w="11906" w:h="16838"/>
          <w:pgMar w:top="1723" w:right="1474" w:bottom="1361" w:left="1587" w:header="851" w:footer="567" w:gutter="0"/>
          <w:pgNumType w:start="1"/>
          <w:cols w:space="0" w:num="1"/>
          <w:docGrid w:type="lines" w:linePitch="312" w:charSpace="0"/>
        </w:sectPr>
      </w:pPr>
    </w:p>
    <w:p w14:paraId="6584CAF6">
      <w:pPr>
        <w:autoSpaceDE w:val="0"/>
        <w:autoSpaceDN w:val="0"/>
        <w:adjustRightInd w:val="0"/>
        <w:spacing w:beforeLines="50" w:line="400" w:lineRule="exact"/>
        <w:ind w:left="420" w:firstLine="3360" w:firstLineChars="700"/>
        <w:jc w:val="left"/>
        <w:rPr>
          <w:rFonts w:ascii="黑体" w:eastAsia="黑体" w:cs="黑体"/>
          <w:kern w:val="0"/>
          <w:sz w:val="48"/>
          <w:szCs w:val="48"/>
        </w:rPr>
      </w:pPr>
    </w:p>
    <w:p w14:paraId="66BE75F5">
      <w:pPr>
        <w:autoSpaceDE w:val="0"/>
        <w:autoSpaceDN w:val="0"/>
        <w:adjustRightInd w:val="0"/>
        <w:spacing w:beforeLines="50" w:line="400" w:lineRule="exact"/>
        <w:jc w:val="center"/>
        <w:rPr>
          <w:rFonts w:ascii="宋体" w:eastAsia="宋体" w:cs="宋体"/>
          <w:kern w:val="0"/>
          <w:sz w:val="44"/>
          <w:szCs w:val="44"/>
        </w:rPr>
      </w:pPr>
      <w:r>
        <w:rPr>
          <w:rFonts w:hint="eastAsia" w:ascii="黑体" w:eastAsia="黑体" w:cs="黑体"/>
          <w:kern w:val="0"/>
          <w:sz w:val="44"/>
          <w:szCs w:val="44"/>
        </w:rPr>
        <w:t>郑重声明</w:t>
      </w:r>
    </w:p>
    <w:p w14:paraId="697D86F8">
      <w:pPr>
        <w:autoSpaceDE w:val="0"/>
        <w:autoSpaceDN w:val="0"/>
        <w:adjustRightInd w:val="0"/>
        <w:spacing w:line="400" w:lineRule="exact"/>
        <w:ind w:firstLine="1040" w:firstLineChars="400"/>
        <w:jc w:val="left"/>
        <w:rPr>
          <w:rFonts w:ascii="宋体" w:eastAsia="宋体" w:cs="宋体"/>
          <w:kern w:val="0"/>
          <w:sz w:val="26"/>
          <w:szCs w:val="26"/>
        </w:rPr>
      </w:pPr>
    </w:p>
    <w:p w14:paraId="027E7765">
      <w:pPr>
        <w:autoSpaceDE w:val="0"/>
        <w:autoSpaceDN w:val="0"/>
        <w:adjustRightInd w:val="0"/>
        <w:spacing w:line="360" w:lineRule="auto"/>
        <w:ind w:firstLine="560" w:firstLineChars="200"/>
        <w:jc w:val="left"/>
        <w:rPr>
          <w:rFonts w:ascii="宋体" w:eastAsia="宋体" w:cs="宋体"/>
          <w:kern w:val="0"/>
          <w:sz w:val="28"/>
          <w:szCs w:val="28"/>
        </w:rPr>
      </w:pPr>
      <w:r>
        <w:rPr>
          <w:rFonts w:hint="eastAsia" w:ascii="宋体" w:eastAsia="宋体" w:cs="宋体"/>
          <w:kern w:val="0"/>
          <w:sz w:val="28"/>
          <w:szCs w:val="28"/>
        </w:rPr>
        <w:t>本公司出具的社会责任报告，是依据国家有关质量法律、法规等进行撰写。报告中关于公司社会责任是公司现状的真实反映，本公司对报告内容的客观性负责，对相关论述和结论真实性和科学性负责。</w:t>
      </w:r>
    </w:p>
    <w:p w14:paraId="337B3FEC">
      <w:pPr>
        <w:autoSpaceDE w:val="0"/>
        <w:autoSpaceDN w:val="0"/>
        <w:adjustRightInd w:val="0"/>
        <w:spacing w:line="360" w:lineRule="auto"/>
        <w:ind w:firstLine="560"/>
        <w:jc w:val="left"/>
        <w:rPr>
          <w:rFonts w:ascii="宋体" w:eastAsia="宋体" w:cs="宋体"/>
          <w:kern w:val="0"/>
          <w:sz w:val="28"/>
          <w:szCs w:val="28"/>
        </w:rPr>
      </w:pPr>
    </w:p>
    <w:p w14:paraId="187DFC64">
      <w:pPr>
        <w:spacing w:line="520" w:lineRule="exact"/>
        <w:jc w:val="right"/>
        <w:rPr>
          <w:rFonts w:ascii="宋体" w:eastAsia="宋体" w:cs="宋体"/>
          <w:kern w:val="0"/>
          <w:sz w:val="28"/>
          <w:szCs w:val="28"/>
        </w:rPr>
      </w:pPr>
      <w:r>
        <w:rPr>
          <w:rFonts w:hint="eastAsia" w:ascii="宋体" w:eastAsia="宋体" w:cs="宋体"/>
          <w:kern w:val="0"/>
          <w:sz w:val="28"/>
          <w:szCs w:val="28"/>
        </w:rPr>
        <w:t>桐庐宇鑫汽配有限公司</w:t>
      </w:r>
    </w:p>
    <w:p w14:paraId="44448BB5">
      <w:pPr>
        <w:autoSpaceDE w:val="0"/>
        <w:autoSpaceDN w:val="0"/>
        <w:adjustRightInd w:val="0"/>
        <w:spacing w:line="360" w:lineRule="auto"/>
        <w:ind w:firstLine="560"/>
        <w:jc w:val="left"/>
        <w:rPr>
          <w:rFonts w:ascii="宋体" w:eastAsia="宋体" w:cs="宋体"/>
          <w:kern w:val="0"/>
          <w:sz w:val="28"/>
          <w:szCs w:val="28"/>
        </w:rPr>
      </w:pPr>
    </w:p>
    <w:p w14:paraId="7BA7B638">
      <w:pPr>
        <w:autoSpaceDE w:val="0"/>
        <w:autoSpaceDN w:val="0"/>
        <w:adjustRightInd w:val="0"/>
        <w:spacing w:line="360" w:lineRule="auto"/>
        <w:ind w:firstLine="560"/>
        <w:jc w:val="left"/>
        <w:rPr>
          <w:rFonts w:ascii="宋体" w:eastAsia="宋体" w:cs="宋体"/>
          <w:kern w:val="0"/>
          <w:sz w:val="28"/>
          <w:szCs w:val="28"/>
        </w:rPr>
      </w:pPr>
    </w:p>
    <w:p w14:paraId="7A3DE07F">
      <w:pPr>
        <w:autoSpaceDE w:val="0"/>
        <w:autoSpaceDN w:val="0"/>
        <w:adjustRightInd w:val="0"/>
        <w:spacing w:line="360" w:lineRule="auto"/>
        <w:ind w:firstLine="560"/>
        <w:jc w:val="left"/>
        <w:rPr>
          <w:rFonts w:ascii="宋体" w:eastAsia="宋体" w:cs="宋体"/>
          <w:kern w:val="0"/>
          <w:sz w:val="28"/>
          <w:szCs w:val="28"/>
        </w:rPr>
      </w:pPr>
    </w:p>
    <w:p w14:paraId="47BD09CC">
      <w:pPr>
        <w:autoSpaceDE w:val="0"/>
        <w:autoSpaceDN w:val="0"/>
        <w:adjustRightInd w:val="0"/>
        <w:spacing w:line="360" w:lineRule="auto"/>
        <w:ind w:firstLine="560"/>
        <w:jc w:val="left"/>
        <w:rPr>
          <w:rFonts w:ascii="宋体" w:eastAsia="宋体" w:cs="宋体"/>
          <w:kern w:val="0"/>
          <w:sz w:val="28"/>
          <w:szCs w:val="28"/>
        </w:rPr>
      </w:pPr>
    </w:p>
    <w:p w14:paraId="6FCDA585">
      <w:pPr>
        <w:autoSpaceDE w:val="0"/>
        <w:autoSpaceDN w:val="0"/>
        <w:adjustRightInd w:val="0"/>
        <w:spacing w:line="360" w:lineRule="auto"/>
        <w:ind w:firstLine="560"/>
        <w:jc w:val="left"/>
        <w:rPr>
          <w:rFonts w:ascii="宋体" w:eastAsia="宋体" w:cs="宋体"/>
          <w:kern w:val="0"/>
          <w:sz w:val="28"/>
          <w:szCs w:val="28"/>
        </w:rPr>
      </w:pPr>
    </w:p>
    <w:p w14:paraId="697006AF">
      <w:pPr>
        <w:autoSpaceDE w:val="0"/>
        <w:autoSpaceDN w:val="0"/>
        <w:adjustRightInd w:val="0"/>
        <w:spacing w:line="360" w:lineRule="auto"/>
        <w:ind w:firstLine="560"/>
        <w:jc w:val="left"/>
        <w:rPr>
          <w:rFonts w:ascii="宋体" w:eastAsia="宋体" w:cs="宋体"/>
          <w:kern w:val="0"/>
          <w:sz w:val="28"/>
          <w:szCs w:val="28"/>
        </w:rPr>
      </w:pPr>
    </w:p>
    <w:p w14:paraId="208BF9E3">
      <w:pPr>
        <w:autoSpaceDE w:val="0"/>
        <w:autoSpaceDN w:val="0"/>
        <w:adjustRightInd w:val="0"/>
        <w:spacing w:line="360" w:lineRule="auto"/>
        <w:ind w:firstLine="560"/>
        <w:jc w:val="left"/>
        <w:rPr>
          <w:rFonts w:ascii="宋体" w:eastAsia="宋体" w:cs="宋体"/>
          <w:kern w:val="0"/>
          <w:sz w:val="28"/>
          <w:szCs w:val="28"/>
        </w:rPr>
      </w:pPr>
    </w:p>
    <w:p w14:paraId="2C95E231">
      <w:pPr>
        <w:autoSpaceDE w:val="0"/>
        <w:autoSpaceDN w:val="0"/>
        <w:adjustRightInd w:val="0"/>
        <w:spacing w:line="360" w:lineRule="auto"/>
        <w:ind w:firstLine="560"/>
        <w:jc w:val="left"/>
        <w:rPr>
          <w:rFonts w:ascii="宋体" w:eastAsia="宋体" w:cs="宋体"/>
          <w:kern w:val="0"/>
          <w:sz w:val="28"/>
          <w:szCs w:val="28"/>
        </w:rPr>
      </w:pPr>
    </w:p>
    <w:p w14:paraId="551337F2">
      <w:pPr>
        <w:autoSpaceDE w:val="0"/>
        <w:autoSpaceDN w:val="0"/>
        <w:adjustRightInd w:val="0"/>
        <w:spacing w:line="360" w:lineRule="auto"/>
        <w:ind w:firstLine="560"/>
        <w:jc w:val="left"/>
        <w:rPr>
          <w:rFonts w:ascii="宋体" w:eastAsia="宋体" w:cs="宋体"/>
          <w:kern w:val="0"/>
          <w:sz w:val="28"/>
          <w:szCs w:val="28"/>
        </w:rPr>
      </w:pPr>
    </w:p>
    <w:p w14:paraId="0B0192BF">
      <w:pPr>
        <w:autoSpaceDE w:val="0"/>
        <w:autoSpaceDN w:val="0"/>
        <w:adjustRightInd w:val="0"/>
        <w:spacing w:line="360" w:lineRule="auto"/>
        <w:ind w:firstLine="560"/>
        <w:jc w:val="left"/>
        <w:rPr>
          <w:rFonts w:ascii="宋体" w:eastAsia="宋体" w:cs="宋体"/>
          <w:kern w:val="0"/>
          <w:sz w:val="28"/>
          <w:szCs w:val="28"/>
        </w:rPr>
      </w:pPr>
    </w:p>
    <w:p w14:paraId="7C28F65E">
      <w:pPr>
        <w:autoSpaceDE w:val="0"/>
        <w:autoSpaceDN w:val="0"/>
        <w:adjustRightInd w:val="0"/>
        <w:spacing w:line="360" w:lineRule="auto"/>
        <w:ind w:firstLine="560"/>
        <w:jc w:val="left"/>
        <w:rPr>
          <w:rFonts w:ascii="宋体" w:eastAsia="宋体" w:cs="宋体"/>
          <w:kern w:val="0"/>
          <w:sz w:val="28"/>
          <w:szCs w:val="28"/>
        </w:rPr>
      </w:pPr>
    </w:p>
    <w:p w14:paraId="7357B5DC">
      <w:pPr>
        <w:autoSpaceDE w:val="0"/>
        <w:autoSpaceDN w:val="0"/>
        <w:adjustRightInd w:val="0"/>
        <w:spacing w:line="360" w:lineRule="auto"/>
        <w:ind w:firstLine="560"/>
        <w:jc w:val="left"/>
        <w:rPr>
          <w:rFonts w:ascii="宋体" w:eastAsia="宋体" w:cs="宋体"/>
          <w:kern w:val="0"/>
          <w:sz w:val="28"/>
          <w:szCs w:val="28"/>
        </w:rPr>
      </w:pPr>
    </w:p>
    <w:p w14:paraId="1C621F57">
      <w:pPr>
        <w:autoSpaceDE w:val="0"/>
        <w:autoSpaceDN w:val="0"/>
        <w:adjustRightInd w:val="0"/>
        <w:spacing w:line="500" w:lineRule="exact"/>
        <w:jc w:val="left"/>
        <w:rPr>
          <w:rFonts w:ascii="黑体" w:eastAsia="黑体" w:cs="黑体"/>
          <w:color w:val="000000"/>
          <w:kern w:val="0"/>
          <w:sz w:val="26"/>
          <w:szCs w:val="26"/>
        </w:rPr>
        <w:sectPr>
          <w:footerReference r:id="rId5" w:type="default"/>
          <w:pgSz w:w="11906" w:h="16838"/>
          <w:pgMar w:top="1723" w:right="1474" w:bottom="1361" w:left="1587" w:header="851" w:footer="567" w:gutter="0"/>
          <w:pgNumType w:start="1"/>
          <w:cols w:space="0" w:num="1"/>
          <w:docGrid w:type="lines" w:linePitch="312" w:charSpace="0"/>
        </w:sectPr>
      </w:pPr>
    </w:p>
    <w:p w14:paraId="10544BB5">
      <w:pPr>
        <w:autoSpaceDE w:val="0"/>
        <w:autoSpaceDN w:val="0"/>
        <w:adjustRightInd w:val="0"/>
        <w:spacing w:line="500" w:lineRule="exact"/>
        <w:jc w:val="left"/>
        <w:rPr>
          <w:rFonts w:ascii="黑体" w:eastAsia="黑体" w:cs="黑体"/>
          <w:color w:val="000000"/>
          <w:kern w:val="0"/>
          <w:sz w:val="26"/>
          <w:szCs w:val="26"/>
        </w:rPr>
      </w:pPr>
    </w:p>
    <w:p w14:paraId="4A68F655">
      <w:pPr>
        <w:autoSpaceDE w:val="0"/>
        <w:autoSpaceDN w:val="0"/>
        <w:adjustRightInd w:val="0"/>
        <w:spacing w:line="360" w:lineRule="auto"/>
        <w:jc w:val="left"/>
        <w:rPr>
          <w:rFonts w:ascii="宋体" w:eastAsia="宋体" w:cs="宋体"/>
          <w:color w:val="000000"/>
          <w:kern w:val="0"/>
          <w:sz w:val="26"/>
          <w:szCs w:val="26"/>
        </w:rPr>
      </w:pPr>
      <w:r>
        <w:rPr>
          <w:rFonts w:hint="eastAsia" w:ascii="黑体" w:eastAsia="黑体" w:cs="黑体"/>
          <w:color w:val="000000"/>
          <w:kern w:val="0"/>
          <w:sz w:val="26"/>
          <w:szCs w:val="26"/>
        </w:rPr>
        <w:t>组织范围：</w:t>
      </w:r>
      <w:r>
        <w:rPr>
          <w:rFonts w:hint="eastAsia" w:cs="黑体" w:asciiTheme="minorEastAsia" w:hAnsiTheme="minorEastAsia"/>
          <w:color w:val="000000"/>
          <w:kern w:val="0"/>
          <w:sz w:val="26"/>
          <w:szCs w:val="26"/>
        </w:rPr>
        <w:t>桐庐宇鑫汽配</w:t>
      </w:r>
      <w:r>
        <w:rPr>
          <w:rFonts w:hint="eastAsia" w:cs="宋体" w:asciiTheme="minorEastAsia" w:hAnsiTheme="minorEastAsia"/>
          <w:color w:val="000000"/>
          <w:kern w:val="0"/>
          <w:sz w:val="26"/>
          <w:szCs w:val="26"/>
        </w:rPr>
        <w:t>有限公司</w:t>
      </w:r>
    </w:p>
    <w:p w14:paraId="5315D4EA">
      <w:pPr>
        <w:autoSpaceDE w:val="0"/>
        <w:autoSpaceDN w:val="0"/>
        <w:adjustRightInd w:val="0"/>
        <w:spacing w:line="360" w:lineRule="auto"/>
        <w:jc w:val="left"/>
        <w:rPr>
          <w:rFonts w:ascii="宋体" w:eastAsia="宋体" w:cs="宋体"/>
          <w:color w:val="000000"/>
          <w:kern w:val="0"/>
          <w:sz w:val="26"/>
          <w:szCs w:val="26"/>
        </w:rPr>
      </w:pPr>
      <w:r>
        <w:rPr>
          <w:rFonts w:hint="eastAsia" w:ascii="黑体" w:eastAsia="黑体" w:cs="黑体"/>
          <w:color w:val="000000"/>
          <w:kern w:val="0"/>
          <w:sz w:val="26"/>
          <w:szCs w:val="26"/>
        </w:rPr>
        <w:t>报告时间：</w:t>
      </w:r>
      <w:r>
        <w:rPr>
          <w:rFonts w:hint="eastAsia" w:ascii="ËÎÌå" w:hAnsi="ËÎÌå" w:eastAsia="黑体" w:cs="ËÎÌå"/>
          <w:color w:val="000000"/>
          <w:kern w:val="0"/>
          <w:sz w:val="26"/>
          <w:szCs w:val="26"/>
          <w:lang w:eastAsia="zh-CN"/>
        </w:rPr>
        <w:t>202</w:t>
      </w:r>
      <w:r>
        <w:rPr>
          <w:rFonts w:hint="eastAsia" w:ascii="ËÎÌå" w:hAnsi="ËÎÌå" w:eastAsia="黑体" w:cs="ËÎÌå"/>
          <w:color w:val="000000"/>
          <w:kern w:val="0"/>
          <w:sz w:val="26"/>
          <w:szCs w:val="26"/>
          <w:lang w:val="en-US" w:eastAsia="zh-CN"/>
        </w:rPr>
        <w:t>5</w:t>
      </w:r>
      <w:r>
        <w:rPr>
          <w:rFonts w:hint="eastAsia" w:ascii="宋体" w:eastAsia="宋体" w:cs="宋体"/>
          <w:color w:val="000000"/>
          <w:kern w:val="0"/>
          <w:sz w:val="26"/>
          <w:szCs w:val="26"/>
        </w:rPr>
        <w:t>年</w:t>
      </w:r>
      <w:r>
        <w:rPr>
          <w:rFonts w:hint="eastAsia" w:ascii="ËÎÌå" w:hAnsi="ËÎÌå" w:eastAsia="黑体" w:cs="ËÎÌå"/>
          <w:color w:val="000000"/>
          <w:kern w:val="0"/>
          <w:sz w:val="26"/>
          <w:szCs w:val="26"/>
        </w:rPr>
        <w:t>1</w:t>
      </w:r>
      <w:r>
        <w:rPr>
          <w:rFonts w:hint="eastAsia" w:ascii="宋体" w:eastAsia="宋体" w:cs="宋体"/>
          <w:color w:val="000000"/>
          <w:kern w:val="0"/>
          <w:sz w:val="26"/>
          <w:szCs w:val="26"/>
        </w:rPr>
        <w:t>月至</w:t>
      </w:r>
      <w:r>
        <w:rPr>
          <w:rFonts w:hint="eastAsia" w:ascii="ËÎÌå" w:hAnsi="ËÎÌå" w:eastAsia="黑体" w:cs="ËÎÌå"/>
          <w:color w:val="000000"/>
          <w:kern w:val="0"/>
          <w:sz w:val="26"/>
          <w:szCs w:val="26"/>
          <w:lang w:eastAsia="zh-CN"/>
        </w:rPr>
        <w:t>202</w:t>
      </w:r>
      <w:r>
        <w:rPr>
          <w:rFonts w:hint="eastAsia" w:ascii="ËÎÌå" w:hAnsi="ËÎÌå" w:eastAsia="黑体" w:cs="ËÎÌå"/>
          <w:color w:val="000000"/>
          <w:kern w:val="0"/>
          <w:sz w:val="26"/>
          <w:szCs w:val="26"/>
          <w:lang w:val="en-US" w:eastAsia="zh-CN"/>
        </w:rPr>
        <w:t>5</w:t>
      </w:r>
      <w:r>
        <w:rPr>
          <w:rFonts w:hint="eastAsia" w:ascii="宋体" w:eastAsia="宋体" w:cs="宋体"/>
          <w:color w:val="000000"/>
          <w:kern w:val="0"/>
          <w:sz w:val="26"/>
          <w:szCs w:val="26"/>
        </w:rPr>
        <w:t>年</w:t>
      </w:r>
      <w:r>
        <w:rPr>
          <w:rFonts w:hint="eastAsia" w:ascii="ËÎÌå" w:hAnsi="ËÎÌå" w:eastAsia="黑体" w:cs="ËÎÌå"/>
          <w:color w:val="000000"/>
          <w:kern w:val="0"/>
          <w:sz w:val="26"/>
          <w:szCs w:val="26"/>
        </w:rPr>
        <w:t>12</w:t>
      </w:r>
      <w:r>
        <w:rPr>
          <w:rFonts w:hint="eastAsia" w:ascii="宋体" w:eastAsia="宋体" w:cs="宋体"/>
          <w:color w:val="000000"/>
          <w:kern w:val="0"/>
          <w:sz w:val="26"/>
          <w:szCs w:val="26"/>
        </w:rPr>
        <w:t>月</w:t>
      </w:r>
    </w:p>
    <w:p w14:paraId="520550D3">
      <w:pPr>
        <w:autoSpaceDE w:val="0"/>
        <w:autoSpaceDN w:val="0"/>
        <w:adjustRightInd w:val="0"/>
        <w:spacing w:line="360" w:lineRule="auto"/>
        <w:jc w:val="left"/>
        <w:rPr>
          <w:rFonts w:ascii="宋体" w:eastAsia="宋体" w:cs="宋体"/>
          <w:color w:val="000000"/>
          <w:kern w:val="0"/>
          <w:sz w:val="26"/>
          <w:szCs w:val="26"/>
        </w:rPr>
      </w:pPr>
      <w:r>
        <w:rPr>
          <w:rFonts w:hint="eastAsia" w:ascii="黑体" w:eastAsia="黑体" w:cs="黑体"/>
          <w:color w:val="000000"/>
          <w:kern w:val="0"/>
          <w:sz w:val="26"/>
          <w:szCs w:val="26"/>
        </w:rPr>
        <w:t>发布周期：</w:t>
      </w:r>
      <w:r>
        <w:rPr>
          <w:rFonts w:hint="eastAsia" w:ascii="宋体" w:eastAsia="宋体" w:cs="宋体"/>
          <w:color w:val="000000"/>
          <w:kern w:val="0"/>
          <w:sz w:val="26"/>
          <w:szCs w:val="26"/>
        </w:rPr>
        <w:t>一年</w:t>
      </w:r>
    </w:p>
    <w:p w14:paraId="0A33BE76">
      <w:pPr>
        <w:autoSpaceDE w:val="0"/>
        <w:autoSpaceDN w:val="0"/>
        <w:adjustRightInd w:val="0"/>
        <w:spacing w:line="360" w:lineRule="auto"/>
        <w:jc w:val="left"/>
        <w:rPr>
          <w:rFonts w:ascii="宋体" w:eastAsia="宋体" w:cs="宋体"/>
          <w:color w:val="000000"/>
          <w:kern w:val="0"/>
          <w:sz w:val="26"/>
          <w:szCs w:val="26"/>
        </w:rPr>
      </w:pPr>
      <w:r>
        <w:rPr>
          <w:rFonts w:hint="eastAsia" w:ascii="黑体" w:eastAsia="黑体" w:cs="黑体"/>
          <w:color w:val="000000"/>
          <w:kern w:val="0"/>
          <w:sz w:val="26"/>
          <w:szCs w:val="26"/>
        </w:rPr>
        <w:t>报告获取方式：</w:t>
      </w:r>
      <w:r>
        <w:rPr>
          <w:rFonts w:hint="eastAsia" w:ascii="宋体" w:eastAsia="宋体" w:cs="宋体"/>
          <w:color w:val="000000"/>
          <w:kern w:val="0"/>
          <w:sz w:val="26"/>
          <w:szCs w:val="26"/>
        </w:rPr>
        <w:t>通过公司网站</w:t>
      </w:r>
      <w:r>
        <w:fldChar w:fldCharType="begin"/>
      </w:r>
      <w:r>
        <w:instrText xml:space="preserve"> HYPERLINK "http://www" </w:instrText>
      </w:r>
      <w:r>
        <w:fldChar w:fldCharType="separate"/>
      </w:r>
      <w:r>
        <w:rPr>
          <w:rStyle w:val="42"/>
          <w:rFonts w:ascii="ËÎÌå" w:hAnsi="ËÎÌå" w:eastAsia="黑体" w:cs="ËÎÌå"/>
          <w:color w:val="auto"/>
          <w:kern w:val="0"/>
          <w:sz w:val="26"/>
          <w:szCs w:val="26"/>
        </w:rPr>
        <w:t>http://www</w:t>
      </w:r>
      <w:r>
        <w:rPr>
          <w:rStyle w:val="42"/>
          <w:rFonts w:ascii="ËÎÌå" w:hAnsi="ËÎÌå" w:eastAsia="黑体" w:cs="ËÎÌå"/>
          <w:color w:val="auto"/>
          <w:kern w:val="0"/>
          <w:sz w:val="26"/>
          <w:szCs w:val="26"/>
        </w:rPr>
        <w:fldChar w:fldCharType="end"/>
      </w:r>
      <w:r>
        <w:rPr>
          <w:rFonts w:ascii="ËÎÌå" w:hAnsi="ËÎÌå" w:eastAsia="黑体" w:cs="ËÎÌå"/>
          <w:kern w:val="0"/>
          <w:sz w:val="26"/>
          <w:szCs w:val="26"/>
          <w:u w:val="single"/>
        </w:rPr>
        <w:t>.</w:t>
      </w:r>
      <w:r>
        <w:rPr>
          <w:rFonts w:hint="eastAsia" w:ascii="ËÎÌå" w:hAnsi="ËÎÌå" w:eastAsia="黑体" w:cs="ËÎÌå"/>
          <w:kern w:val="0"/>
          <w:sz w:val="26"/>
          <w:szCs w:val="26"/>
          <w:u w:val="single"/>
        </w:rPr>
        <w:t>zgzjyx</w:t>
      </w:r>
      <w:r>
        <w:rPr>
          <w:rFonts w:ascii="ËÎÌå" w:hAnsi="ËÎÌå" w:eastAsia="黑体" w:cs="ËÎÌå"/>
          <w:kern w:val="0"/>
          <w:sz w:val="26"/>
          <w:szCs w:val="26"/>
          <w:u w:val="single"/>
        </w:rPr>
        <w:t>.c</w:t>
      </w:r>
      <w:r>
        <w:rPr>
          <w:rFonts w:hint="eastAsia" w:ascii="ËÎÌå" w:hAnsi="ËÎÌå" w:eastAsia="黑体" w:cs="ËÎÌå"/>
          <w:kern w:val="0"/>
          <w:sz w:val="26"/>
          <w:szCs w:val="26"/>
          <w:u w:val="single"/>
        </w:rPr>
        <w:t>n</w:t>
      </w:r>
      <w:r>
        <w:rPr>
          <w:rFonts w:ascii="ËÎÌå" w:hAnsi="ËÎÌå" w:eastAsia="黑体" w:cs="ËÎÌå"/>
          <w:kern w:val="0"/>
          <w:sz w:val="26"/>
          <w:szCs w:val="26"/>
          <w:u w:val="single"/>
        </w:rPr>
        <w:t>/</w:t>
      </w:r>
      <w:r>
        <w:rPr>
          <w:rFonts w:hint="eastAsia" w:ascii="宋体" w:eastAsia="宋体" w:cs="宋体"/>
          <w:kern w:val="0"/>
          <w:sz w:val="26"/>
          <w:szCs w:val="26"/>
        </w:rPr>
        <w:t>下</w:t>
      </w:r>
      <w:r>
        <w:rPr>
          <w:rFonts w:hint="eastAsia" w:ascii="宋体" w:eastAsia="宋体" w:cs="宋体"/>
          <w:color w:val="000000"/>
          <w:kern w:val="0"/>
          <w:sz w:val="26"/>
          <w:szCs w:val="26"/>
        </w:rPr>
        <w:t>载</w:t>
      </w:r>
    </w:p>
    <w:p w14:paraId="3F0DC0A0">
      <w:pPr>
        <w:autoSpaceDE w:val="0"/>
        <w:autoSpaceDN w:val="0"/>
        <w:adjustRightInd w:val="0"/>
        <w:spacing w:line="360" w:lineRule="auto"/>
        <w:ind w:firstLine="560"/>
        <w:jc w:val="left"/>
        <w:rPr>
          <w:rFonts w:ascii="宋体" w:eastAsia="宋体" w:cs="宋体"/>
          <w:kern w:val="0"/>
          <w:sz w:val="28"/>
          <w:szCs w:val="28"/>
        </w:rPr>
      </w:pPr>
    </w:p>
    <w:p w14:paraId="1ECFDE04">
      <w:pPr>
        <w:autoSpaceDE w:val="0"/>
        <w:autoSpaceDN w:val="0"/>
        <w:adjustRightInd w:val="0"/>
        <w:spacing w:line="360" w:lineRule="auto"/>
        <w:ind w:firstLine="560"/>
        <w:jc w:val="left"/>
        <w:rPr>
          <w:rFonts w:ascii="宋体" w:eastAsia="宋体" w:cs="宋体"/>
          <w:kern w:val="0"/>
          <w:sz w:val="28"/>
          <w:szCs w:val="28"/>
        </w:rPr>
      </w:pPr>
    </w:p>
    <w:p w14:paraId="6B3AF7C3">
      <w:pPr>
        <w:autoSpaceDE w:val="0"/>
        <w:autoSpaceDN w:val="0"/>
        <w:adjustRightInd w:val="0"/>
        <w:spacing w:line="360" w:lineRule="auto"/>
        <w:ind w:firstLine="560"/>
        <w:jc w:val="left"/>
        <w:rPr>
          <w:rFonts w:ascii="宋体" w:eastAsia="宋体" w:cs="宋体"/>
          <w:kern w:val="0"/>
          <w:sz w:val="28"/>
          <w:szCs w:val="28"/>
        </w:rPr>
      </w:pPr>
    </w:p>
    <w:p w14:paraId="758EB1C6">
      <w:pPr>
        <w:autoSpaceDE w:val="0"/>
        <w:autoSpaceDN w:val="0"/>
        <w:adjustRightInd w:val="0"/>
        <w:spacing w:line="360" w:lineRule="auto"/>
        <w:ind w:firstLine="560"/>
        <w:jc w:val="left"/>
        <w:rPr>
          <w:rFonts w:ascii="宋体" w:eastAsia="宋体" w:cs="宋体"/>
          <w:kern w:val="0"/>
          <w:sz w:val="28"/>
          <w:szCs w:val="28"/>
        </w:rPr>
      </w:pPr>
    </w:p>
    <w:p w14:paraId="41FC6683">
      <w:pPr>
        <w:autoSpaceDE w:val="0"/>
        <w:autoSpaceDN w:val="0"/>
        <w:adjustRightInd w:val="0"/>
        <w:spacing w:line="360" w:lineRule="auto"/>
        <w:ind w:firstLine="560"/>
        <w:jc w:val="left"/>
        <w:rPr>
          <w:rFonts w:ascii="宋体" w:eastAsia="宋体" w:cs="宋体"/>
          <w:kern w:val="0"/>
          <w:sz w:val="28"/>
          <w:szCs w:val="28"/>
        </w:rPr>
      </w:pPr>
    </w:p>
    <w:p w14:paraId="1CA07728">
      <w:pPr>
        <w:autoSpaceDE w:val="0"/>
        <w:autoSpaceDN w:val="0"/>
        <w:adjustRightInd w:val="0"/>
        <w:spacing w:line="360" w:lineRule="auto"/>
        <w:ind w:firstLine="560"/>
        <w:jc w:val="left"/>
        <w:rPr>
          <w:rFonts w:ascii="宋体" w:eastAsia="宋体" w:cs="宋体"/>
          <w:kern w:val="0"/>
          <w:sz w:val="28"/>
          <w:szCs w:val="28"/>
        </w:rPr>
      </w:pPr>
    </w:p>
    <w:p w14:paraId="354B9504">
      <w:pPr>
        <w:autoSpaceDE w:val="0"/>
        <w:autoSpaceDN w:val="0"/>
        <w:adjustRightInd w:val="0"/>
        <w:spacing w:line="360" w:lineRule="auto"/>
        <w:ind w:firstLine="560"/>
        <w:jc w:val="left"/>
        <w:rPr>
          <w:rFonts w:ascii="宋体" w:eastAsia="宋体" w:cs="宋体"/>
          <w:kern w:val="0"/>
          <w:sz w:val="28"/>
          <w:szCs w:val="28"/>
        </w:rPr>
      </w:pPr>
    </w:p>
    <w:p w14:paraId="085356D2">
      <w:pPr>
        <w:autoSpaceDE w:val="0"/>
        <w:autoSpaceDN w:val="0"/>
        <w:adjustRightInd w:val="0"/>
        <w:spacing w:line="360" w:lineRule="auto"/>
        <w:ind w:firstLine="560"/>
        <w:jc w:val="left"/>
        <w:rPr>
          <w:rFonts w:ascii="宋体" w:eastAsia="宋体" w:cs="宋体"/>
          <w:kern w:val="0"/>
          <w:sz w:val="28"/>
          <w:szCs w:val="28"/>
        </w:rPr>
      </w:pPr>
    </w:p>
    <w:p w14:paraId="566E691F">
      <w:pPr>
        <w:autoSpaceDE w:val="0"/>
        <w:autoSpaceDN w:val="0"/>
        <w:adjustRightInd w:val="0"/>
        <w:spacing w:line="360" w:lineRule="auto"/>
        <w:ind w:firstLine="560"/>
        <w:jc w:val="left"/>
        <w:rPr>
          <w:rFonts w:ascii="宋体" w:eastAsia="宋体" w:cs="宋体"/>
          <w:kern w:val="0"/>
          <w:sz w:val="28"/>
          <w:szCs w:val="28"/>
        </w:rPr>
      </w:pPr>
    </w:p>
    <w:p w14:paraId="1048425E">
      <w:pPr>
        <w:autoSpaceDE w:val="0"/>
        <w:autoSpaceDN w:val="0"/>
        <w:adjustRightInd w:val="0"/>
        <w:spacing w:line="360" w:lineRule="auto"/>
        <w:ind w:firstLine="560"/>
        <w:jc w:val="left"/>
        <w:rPr>
          <w:rFonts w:ascii="宋体" w:eastAsia="宋体" w:cs="宋体"/>
          <w:kern w:val="0"/>
          <w:sz w:val="28"/>
          <w:szCs w:val="28"/>
        </w:rPr>
      </w:pPr>
    </w:p>
    <w:p w14:paraId="068C9D71">
      <w:pPr>
        <w:autoSpaceDE w:val="0"/>
        <w:autoSpaceDN w:val="0"/>
        <w:adjustRightInd w:val="0"/>
        <w:spacing w:line="360" w:lineRule="auto"/>
        <w:ind w:firstLine="560"/>
        <w:jc w:val="left"/>
        <w:rPr>
          <w:rFonts w:ascii="宋体" w:eastAsia="宋体" w:cs="宋体"/>
          <w:kern w:val="0"/>
          <w:sz w:val="28"/>
          <w:szCs w:val="28"/>
        </w:rPr>
      </w:pPr>
    </w:p>
    <w:p w14:paraId="58A09AFB">
      <w:pPr>
        <w:spacing w:line="360" w:lineRule="auto"/>
        <w:ind w:firstLine="5040" w:firstLineChars="1800"/>
        <w:rPr>
          <w:rFonts w:ascii="宋体" w:eastAsia="宋体" w:cs="宋体"/>
          <w:kern w:val="0"/>
          <w:sz w:val="28"/>
          <w:szCs w:val="28"/>
        </w:rPr>
      </w:pPr>
    </w:p>
    <w:p w14:paraId="17397A70">
      <w:pPr>
        <w:spacing w:line="360" w:lineRule="auto"/>
        <w:ind w:firstLine="5040" w:firstLineChars="1800"/>
        <w:rPr>
          <w:rFonts w:ascii="宋体" w:eastAsia="宋体" w:cs="宋体"/>
          <w:kern w:val="0"/>
          <w:sz w:val="28"/>
          <w:szCs w:val="28"/>
        </w:rPr>
      </w:pPr>
    </w:p>
    <w:p w14:paraId="2CED87AE">
      <w:pPr>
        <w:spacing w:line="360" w:lineRule="auto"/>
        <w:ind w:firstLine="5040" w:firstLineChars="1800"/>
        <w:rPr>
          <w:rFonts w:ascii="宋体" w:eastAsia="宋体" w:cs="宋体"/>
          <w:kern w:val="0"/>
          <w:sz w:val="28"/>
          <w:szCs w:val="28"/>
        </w:rPr>
      </w:pPr>
    </w:p>
    <w:p w14:paraId="318B73C6">
      <w:pPr>
        <w:spacing w:line="360" w:lineRule="auto"/>
        <w:ind w:firstLine="5040" w:firstLineChars="1800"/>
        <w:rPr>
          <w:rFonts w:ascii="宋体" w:eastAsia="宋体" w:cs="宋体"/>
          <w:kern w:val="0"/>
          <w:sz w:val="28"/>
          <w:szCs w:val="28"/>
        </w:rPr>
      </w:pPr>
    </w:p>
    <w:p w14:paraId="5E82D27F">
      <w:pPr>
        <w:spacing w:line="360" w:lineRule="auto"/>
        <w:ind w:firstLine="5040" w:firstLineChars="1800"/>
        <w:rPr>
          <w:rFonts w:ascii="宋体" w:eastAsia="宋体" w:cs="宋体"/>
          <w:kern w:val="0"/>
          <w:sz w:val="28"/>
          <w:szCs w:val="28"/>
        </w:rPr>
      </w:pPr>
    </w:p>
    <w:p w14:paraId="1B972870">
      <w:pPr>
        <w:spacing w:line="360" w:lineRule="auto"/>
        <w:ind w:firstLine="5040" w:firstLineChars="1800"/>
        <w:rPr>
          <w:rFonts w:ascii="宋体" w:eastAsia="宋体" w:cs="宋体"/>
          <w:kern w:val="0"/>
          <w:sz w:val="28"/>
          <w:szCs w:val="28"/>
        </w:rPr>
      </w:pPr>
    </w:p>
    <w:p w14:paraId="5862E90F">
      <w:pPr>
        <w:autoSpaceDE w:val="0"/>
        <w:autoSpaceDN w:val="0"/>
        <w:adjustRightInd w:val="0"/>
        <w:spacing w:beforeLines="50" w:line="300" w:lineRule="exact"/>
        <w:ind w:firstLine="3360" w:firstLineChars="700"/>
        <w:jc w:val="left"/>
        <w:rPr>
          <w:rFonts w:ascii="黑体" w:eastAsia="黑体" w:cs="黑体"/>
          <w:kern w:val="0"/>
          <w:sz w:val="48"/>
          <w:szCs w:val="48"/>
        </w:rPr>
        <w:sectPr>
          <w:footerReference r:id="rId6" w:type="default"/>
          <w:pgSz w:w="11906" w:h="16838"/>
          <w:pgMar w:top="1723" w:right="1474" w:bottom="1361" w:left="1587" w:header="851" w:footer="567" w:gutter="0"/>
          <w:cols w:space="0" w:num="1"/>
          <w:docGrid w:type="lines" w:linePitch="312" w:charSpace="0"/>
        </w:sectPr>
      </w:pPr>
    </w:p>
    <w:p w14:paraId="42A2C3C9">
      <w:pPr>
        <w:pStyle w:val="15"/>
        <w:spacing w:before="4"/>
        <w:jc w:val="center"/>
        <w:rPr>
          <w:b/>
          <w:bCs/>
          <w:sz w:val="30"/>
          <w:szCs w:val="30"/>
        </w:rPr>
      </w:pPr>
      <w:r>
        <w:rPr>
          <w:rFonts w:hint="eastAsia"/>
          <w:b/>
          <w:bCs/>
          <w:sz w:val="30"/>
          <w:szCs w:val="30"/>
        </w:rPr>
        <w:t>总经理致辞</w:t>
      </w:r>
    </w:p>
    <w:p w14:paraId="17D5796A">
      <w:pPr>
        <w:pStyle w:val="15"/>
        <w:spacing w:before="4"/>
        <w:jc w:val="center"/>
        <w:rPr>
          <w:b/>
          <w:bCs/>
          <w:sz w:val="32"/>
          <w:szCs w:val="32"/>
        </w:rPr>
      </w:pPr>
    </w:p>
    <w:p w14:paraId="3B5C257E">
      <w:pPr>
        <w:pStyle w:val="33"/>
        <w:spacing w:before="0" w:beforeAutospacing="0" w:after="0" w:afterAutospacing="0" w:line="360" w:lineRule="auto"/>
        <w:ind w:firstLine="560" w:firstLineChars="200"/>
        <w:rPr>
          <w:rFonts w:ascii="Times New Roman" w:hAnsi="Times New Roman" w:cs="Calibri"/>
          <w:kern w:val="2"/>
          <w:sz w:val="28"/>
          <w:szCs w:val="28"/>
        </w:rPr>
      </w:pPr>
      <w:r>
        <w:rPr>
          <w:rFonts w:hint="eastAsia" w:ascii="Times New Roman" w:hAnsi="Times New Roman" w:cs="Calibri"/>
          <w:kern w:val="2"/>
          <w:sz w:val="28"/>
          <w:szCs w:val="28"/>
        </w:rPr>
        <w:t>自</w:t>
      </w:r>
      <w:r>
        <w:rPr>
          <w:rFonts w:hint="eastAsia" w:cs="Calibri"/>
          <w:kern w:val="2"/>
          <w:sz w:val="28"/>
          <w:szCs w:val="28"/>
        </w:rPr>
        <w:t>1995</w:t>
      </w:r>
      <w:r>
        <w:rPr>
          <w:rFonts w:hint="eastAsia" w:ascii="Times New Roman" w:hAnsi="Times New Roman" w:cs="Calibri"/>
          <w:kern w:val="2"/>
          <w:sz w:val="28"/>
          <w:szCs w:val="28"/>
        </w:rPr>
        <w:t>年成立至今，</w:t>
      </w:r>
      <w:r>
        <w:rPr>
          <w:rFonts w:hint="eastAsia" w:cs="Calibri"/>
          <w:kern w:val="2"/>
          <w:sz w:val="28"/>
          <w:szCs w:val="28"/>
        </w:rPr>
        <w:t>桐庐宇鑫汽配</w:t>
      </w:r>
      <w:r>
        <w:rPr>
          <w:rFonts w:hint="eastAsia" w:ascii="Times New Roman" w:hAnsi="Times New Roman" w:cs="Calibri"/>
          <w:kern w:val="2"/>
          <w:sz w:val="28"/>
          <w:szCs w:val="28"/>
        </w:rPr>
        <w:t>有限公司始终秉承“</w:t>
      </w:r>
      <w:r>
        <w:rPr>
          <w:rFonts w:hint="eastAsia" w:cs="Calibri"/>
          <w:b/>
          <w:bCs/>
          <w:kern w:val="2"/>
          <w:sz w:val="28"/>
          <w:szCs w:val="28"/>
          <w:u w:val="single"/>
        </w:rPr>
        <w:t>质量第一、诚信为本、长期服务</w:t>
      </w:r>
      <w:r>
        <w:rPr>
          <w:rFonts w:hint="eastAsia" w:ascii="Times New Roman" w:hAnsi="Times New Roman" w:cs="Calibri"/>
          <w:kern w:val="2"/>
          <w:sz w:val="28"/>
          <w:szCs w:val="28"/>
        </w:rPr>
        <w:t>”的核心价值观，“</w:t>
      </w:r>
      <w:r>
        <w:rPr>
          <w:rFonts w:hint="eastAsia" w:cs="Calibri"/>
          <w:b/>
          <w:bCs/>
          <w:kern w:val="2"/>
          <w:sz w:val="28"/>
          <w:szCs w:val="28"/>
          <w:u w:val="single"/>
        </w:rPr>
        <w:t>进取、求实、严谨、团结</w:t>
      </w:r>
      <w:r>
        <w:rPr>
          <w:rFonts w:hint="eastAsia" w:ascii="Times New Roman" w:hAnsi="Times New Roman" w:cs="Calibri"/>
          <w:kern w:val="2"/>
          <w:sz w:val="28"/>
          <w:szCs w:val="28"/>
        </w:rPr>
        <w:t>”的</w:t>
      </w:r>
      <w:r>
        <w:rPr>
          <w:rFonts w:hint="eastAsia" w:cs="Calibri"/>
          <w:kern w:val="2"/>
          <w:sz w:val="28"/>
          <w:szCs w:val="28"/>
        </w:rPr>
        <w:t>经营方针</w:t>
      </w:r>
      <w:r>
        <w:rPr>
          <w:rFonts w:hint="eastAsia" w:ascii="Times New Roman" w:hAnsi="Times New Roman" w:cs="Calibri"/>
          <w:kern w:val="2"/>
          <w:sz w:val="28"/>
          <w:szCs w:val="28"/>
        </w:rPr>
        <w:t>，专注摩擦材料事业，致力于</w:t>
      </w:r>
      <w:r>
        <w:rPr>
          <w:rFonts w:hint="eastAsia" w:cs="Calibri"/>
          <w:kern w:val="2"/>
          <w:sz w:val="28"/>
          <w:szCs w:val="28"/>
        </w:rPr>
        <w:t>盘式制动衬片</w:t>
      </w:r>
      <w:r>
        <w:rPr>
          <w:rFonts w:hint="eastAsia" w:ascii="Times New Roman" w:hAnsi="Times New Roman" w:cs="Calibri"/>
          <w:kern w:val="2"/>
          <w:sz w:val="28"/>
          <w:szCs w:val="28"/>
        </w:rPr>
        <w:t>技术的创新与发展。</w:t>
      </w:r>
    </w:p>
    <w:p w14:paraId="4C44CE2C">
      <w:pPr>
        <w:tabs>
          <w:tab w:val="left" w:pos="1528"/>
        </w:tabs>
        <w:spacing w:line="360" w:lineRule="auto"/>
        <w:ind w:firstLine="560" w:firstLineChars="200"/>
        <w:jc w:val="left"/>
        <w:rPr>
          <w:sz w:val="28"/>
          <w:szCs w:val="28"/>
        </w:rPr>
      </w:pPr>
      <w:r>
        <w:rPr>
          <w:rFonts w:hint="eastAsia" w:cs="Calibri"/>
          <w:sz w:val="28"/>
          <w:szCs w:val="28"/>
        </w:rPr>
        <w:t>宇鑫</w:t>
      </w:r>
      <w:r>
        <w:rPr>
          <w:rFonts w:hint="eastAsia" w:ascii="Times New Roman" w:hAnsi="Times New Roman" w:eastAsia="宋体" w:cs="Calibri"/>
          <w:sz w:val="28"/>
          <w:szCs w:val="28"/>
        </w:rPr>
        <w:t>不忘初心，砥砺前行，牢记“</w:t>
      </w:r>
      <w:r>
        <w:rPr>
          <w:rFonts w:hint="eastAsia" w:cs="Calibri"/>
          <w:b/>
          <w:bCs/>
          <w:sz w:val="28"/>
          <w:szCs w:val="28"/>
          <w:u w:val="single"/>
        </w:rPr>
        <w:t>致力于为客户提供一流的刹车片</w:t>
      </w:r>
      <w:r>
        <w:rPr>
          <w:rFonts w:hint="eastAsia" w:ascii="Times New Roman" w:hAnsi="Times New Roman" w:eastAsia="宋体" w:cs="Calibri"/>
          <w:sz w:val="28"/>
          <w:szCs w:val="28"/>
        </w:rPr>
        <w:t>”的企业使命，不断延伸产业链布局，持续做</w:t>
      </w:r>
      <w:r>
        <w:rPr>
          <w:rFonts w:hint="eastAsia"/>
          <w:sz w:val="28"/>
          <w:szCs w:val="28"/>
        </w:rPr>
        <w:t>大做强盘式制动衬片产业。回首超越的每一步，宇鑫在社会各界支持下不断探索前进，优化整合部分上下游资源，实现了管理蜕变和技术创新，更重要的是宇鑫培养了一支年轻而又充满活力的团队。</w:t>
      </w:r>
    </w:p>
    <w:p w14:paraId="0D897EE7">
      <w:pPr>
        <w:tabs>
          <w:tab w:val="left" w:pos="1528"/>
        </w:tabs>
        <w:spacing w:line="360" w:lineRule="auto"/>
        <w:ind w:firstLine="560" w:firstLineChars="200"/>
        <w:jc w:val="left"/>
        <w:rPr>
          <w:sz w:val="28"/>
          <w:szCs w:val="28"/>
        </w:rPr>
      </w:pPr>
      <w:r>
        <w:rPr>
          <w:rFonts w:hint="eastAsia"/>
          <w:sz w:val="28"/>
          <w:szCs w:val="28"/>
        </w:rPr>
        <w:t>宇鑫在自身不断发展壮大的同时，不忘以温情回报社会。我们坚持对社会和环境负责任的行为将有助于公司效益可持续增长和价值的创造。宇鑫将企业社会责任提上升到公司的战略高度，为未来实现可持续增长，宇鑫在不断探索市场、寻找新的合作伙伴的同时，也在不断对社会和环境贡献我们的力量。</w:t>
      </w:r>
      <w:r>
        <w:rPr>
          <w:rFonts w:hint="eastAsia"/>
          <w:sz w:val="28"/>
          <w:szCs w:val="28"/>
          <w:lang w:eastAsia="zh-CN"/>
        </w:rPr>
        <w:t>202</w:t>
      </w:r>
      <w:r>
        <w:rPr>
          <w:rFonts w:hint="eastAsia"/>
          <w:sz w:val="28"/>
          <w:szCs w:val="28"/>
          <w:lang w:val="en-US" w:eastAsia="zh-CN"/>
        </w:rPr>
        <w:t>5</w:t>
      </w:r>
      <w:r>
        <w:rPr>
          <w:rFonts w:hint="eastAsia"/>
          <w:sz w:val="28"/>
          <w:szCs w:val="28"/>
        </w:rPr>
        <w:t>年宇鑫在社区扶贫、公共环保、福利事业、社会公益等方面取得突出的成就，赢得了社会各界的赞誉。</w:t>
      </w:r>
    </w:p>
    <w:p w14:paraId="4437B8C9">
      <w:pPr>
        <w:tabs>
          <w:tab w:val="left" w:pos="1528"/>
        </w:tabs>
        <w:spacing w:line="360" w:lineRule="auto"/>
        <w:ind w:firstLine="560" w:firstLineChars="200"/>
        <w:jc w:val="left"/>
      </w:pPr>
      <w:r>
        <w:rPr>
          <w:rFonts w:hint="eastAsia"/>
          <w:sz w:val="28"/>
          <w:szCs w:val="28"/>
        </w:rPr>
        <w:t>以诚立信，面向未来。我们看到中国经济的韧性明显增强，中国经济的动力将持久存在，宇鑫生长在这自豪的国土上，也一定会坚持做一个绿色环境保护者和美好生活的倡导者。</w:t>
      </w:r>
    </w:p>
    <w:p w14:paraId="02DECF20">
      <w:pPr>
        <w:tabs>
          <w:tab w:val="left" w:pos="1528"/>
        </w:tabs>
        <w:jc w:val="left"/>
      </w:pPr>
    </w:p>
    <w:p w14:paraId="78C112FE">
      <w:pPr>
        <w:tabs>
          <w:tab w:val="left" w:pos="1528"/>
        </w:tabs>
        <w:spacing w:line="360" w:lineRule="auto"/>
        <w:ind w:firstLine="5600" w:firstLineChars="2000"/>
      </w:pPr>
      <w:r>
        <w:rPr>
          <w:rFonts w:hint="eastAsia"/>
          <w:sz w:val="28"/>
          <w:szCs w:val="28"/>
        </w:rPr>
        <w:t>总经理：王煜鹏</w:t>
      </w:r>
    </w:p>
    <w:p w14:paraId="05450A8E">
      <w:pPr>
        <w:autoSpaceDE w:val="0"/>
        <w:autoSpaceDN w:val="0"/>
        <w:adjustRightInd w:val="0"/>
        <w:spacing w:beforeLines="50" w:line="160" w:lineRule="exact"/>
        <w:ind w:firstLine="3360" w:firstLineChars="700"/>
        <w:jc w:val="left"/>
        <w:rPr>
          <w:rFonts w:ascii="黑体" w:eastAsia="黑体" w:cs="黑体"/>
          <w:kern w:val="0"/>
          <w:sz w:val="48"/>
          <w:szCs w:val="48"/>
        </w:rPr>
      </w:pPr>
    </w:p>
    <w:p w14:paraId="0737A61E">
      <w:pPr>
        <w:autoSpaceDE w:val="0"/>
        <w:autoSpaceDN w:val="0"/>
        <w:adjustRightInd w:val="0"/>
        <w:spacing w:beforeLines="50" w:line="400" w:lineRule="exact"/>
        <w:ind w:firstLine="1960" w:firstLineChars="700"/>
        <w:jc w:val="left"/>
        <w:rPr>
          <w:rFonts w:ascii="黑体" w:hAnsi="黑体" w:eastAsia="黑体" w:cs="黑体"/>
          <w:kern w:val="0"/>
          <w:sz w:val="28"/>
          <w:szCs w:val="28"/>
        </w:rPr>
        <w:sectPr>
          <w:footerReference r:id="rId7" w:type="default"/>
          <w:pgSz w:w="11906" w:h="16838"/>
          <w:pgMar w:top="1723" w:right="1474" w:bottom="1361" w:left="1587" w:header="851" w:footer="567" w:gutter="0"/>
          <w:cols w:space="0" w:num="1"/>
          <w:docGrid w:type="lines" w:linePitch="312" w:charSpace="0"/>
        </w:sectPr>
      </w:pPr>
    </w:p>
    <w:p w14:paraId="127A37F8">
      <w:pPr>
        <w:spacing w:line="300" w:lineRule="exact"/>
        <w:ind w:firstLine="560"/>
        <w:jc w:val="center"/>
        <w:rPr>
          <w:rFonts w:ascii="宋体" w:eastAsia="宋体" w:cs="宋体"/>
          <w:kern w:val="0"/>
          <w:sz w:val="28"/>
          <w:szCs w:val="28"/>
        </w:rPr>
      </w:pPr>
    </w:p>
    <w:p w14:paraId="5A1B9BE7">
      <w:pPr>
        <w:autoSpaceDE w:val="0"/>
        <w:autoSpaceDN w:val="0"/>
        <w:adjustRightInd w:val="0"/>
        <w:spacing w:line="820" w:lineRule="exact"/>
        <w:jc w:val="center"/>
        <w:rPr>
          <w:rFonts w:ascii="黑体" w:hAnsi="黑体" w:eastAsia="黑体" w:cs="黑体"/>
          <w:spacing w:val="12"/>
          <w:kern w:val="0"/>
          <w:sz w:val="44"/>
          <w:szCs w:val="44"/>
        </w:rPr>
      </w:pPr>
      <w:r>
        <w:rPr>
          <w:rFonts w:hint="eastAsia" w:ascii="黑体" w:hAnsi="黑体" w:eastAsia="黑体" w:cs="黑体"/>
          <w:spacing w:val="12"/>
          <w:kern w:val="0"/>
          <w:sz w:val="44"/>
          <w:szCs w:val="44"/>
        </w:rPr>
        <w:t>企业简介</w:t>
      </w:r>
    </w:p>
    <w:p w14:paraId="2C5159AB">
      <w:pPr>
        <w:autoSpaceDE w:val="0"/>
        <w:autoSpaceDN w:val="0"/>
        <w:adjustRightInd w:val="0"/>
        <w:spacing w:line="300" w:lineRule="exact"/>
        <w:ind w:firstLine="3520" w:firstLineChars="1100"/>
        <w:jc w:val="left"/>
        <w:rPr>
          <w:rFonts w:ascii="黑体" w:eastAsia="黑体" w:cs="黑体"/>
          <w:kern w:val="0"/>
          <w:sz w:val="32"/>
          <w:szCs w:val="32"/>
        </w:rPr>
      </w:pPr>
    </w:p>
    <w:p w14:paraId="190431D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桐庐宇鑫汽配有限公司创建于1995年，专业生产各种客车、汽车、摩托车、工程机械等车用盘式摩擦衬块总成及摩擦材料，盘式摩擦衬块总成以优越的品质为多家客车厂、卡车厂家及主机厂配套。公司是中国摩擦材料协会会员单位、全国非金属矿产品及制品标准化技术委员会摩擦材料分技术委员会会员、国家高新技术企业。</w:t>
      </w:r>
    </w:p>
    <w:p w14:paraId="3E7BFEC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公司拥有雄厚的研发力量，一流的生产设备，先进的工艺技术，完善的测试手段和严格的质量保证体系，先后通过了IATF 16949，ISO14001和ISO45001体系认证。</w:t>
      </w:r>
    </w:p>
    <w:p w14:paraId="0CBD9155">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公司自成立以来，一直秉承“求真务实、大胆创新”的企业精神，并始终以完善的服务和高品质的质量为广大客户服务，并且结合自身的发展过程形成独具特色的企业文化，已经创立和形成了系统全面的文化理念。</w:t>
      </w:r>
    </w:p>
    <w:p w14:paraId="163E582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公司始终坚持“科学管理、过程控制、持续改进、顾客至上”的品质方针，高度重视环境管理工作，坚决贯彻“建设环境友好企业，提供绿色汽车配件，追求人与自然的和谐统一”的环境管理方针，积极创建“绿色”企业。公司导入现代企业制度管理，且技术力量雄厚、生产设备先进、工艺精湛、检测设备齐全、售前售中售后服务完善，同时积极推行“整理、整顿、清理、清扫、素养、安全”的6S管理和精益化管理。优质的产品、不断创新的管理和技术、热忱的服务使“宇鑫”品牌逐渐具核心竞争力和广阔的市场前景，使“求真务实、大胆创新”的企业精神对公司员工和广大客商渐具影响力。</w:t>
      </w:r>
    </w:p>
    <w:p w14:paraId="7E649A3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通过公司全体员工二十多年的不懈努力，公司已获得政府有关部门和社会的高度评价。公司被认定为“国家高新技术企业”。</w:t>
      </w:r>
    </w:p>
    <w:p w14:paraId="59B29EDB">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本公司截至目前参与了</w:t>
      </w:r>
      <w:r>
        <w:rPr>
          <w:rFonts w:hint="eastAsia" w:ascii="宋体" w:hAnsi="宋体" w:eastAsia="宋体" w:cs="宋体"/>
          <w:sz w:val="28"/>
          <w:szCs w:val="28"/>
          <w:lang w:val="en-US" w:eastAsia="zh-CN"/>
        </w:rPr>
        <w:t>14</w:t>
      </w:r>
      <w:r>
        <w:rPr>
          <w:rFonts w:hint="eastAsia" w:ascii="宋体" w:hAnsi="宋体" w:eastAsia="宋体" w:cs="宋体"/>
          <w:sz w:val="28"/>
          <w:szCs w:val="28"/>
        </w:rPr>
        <w:t>项国家标准和</w:t>
      </w:r>
      <w:r>
        <w:rPr>
          <w:rFonts w:hint="eastAsia" w:ascii="宋体" w:hAnsi="宋体" w:eastAsia="宋体" w:cs="宋体"/>
          <w:sz w:val="28"/>
          <w:szCs w:val="28"/>
          <w:lang w:val="en-US" w:eastAsia="zh-CN"/>
        </w:rPr>
        <w:t>4</w:t>
      </w:r>
      <w:r>
        <w:rPr>
          <w:rFonts w:hint="eastAsia" w:ascii="宋体" w:hAnsi="宋体" w:eastAsia="宋体" w:cs="宋体"/>
          <w:sz w:val="28"/>
          <w:szCs w:val="28"/>
        </w:rPr>
        <w:t>项行业标准的起草。公司</w:t>
      </w:r>
      <w:r>
        <w:rPr>
          <w:rFonts w:hint="eastAsia" w:ascii="宋体" w:hAnsi="宋体" w:eastAsia="宋体" w:cs="宋体"/>
          <w:sz w:val="28"/>
          <w:szCs w:val="28"/>
          <w:lang w:val="en-US" w:eastAsia="zh-CN"/>
        </w:rPr>
        <w:t>牵头</w:t>
      </w:r>
      <w:r>
        <w:rPr>
          <w:rFonts w:hint="eastAsia" w:ascii="宋体" w:hAnsi="宋体" w:eastAsia="宋体" w:cs="宋体"/>
          <w:sz w:val="28"/>
          <w:szCs w:val="28"/>
        </w:rPr>
        <w:t>起草的“浙江制造”标准《</w:t>
      </w:r>
      <w:r>
        <w:rPr>
          <w:rFonts w:hint="eastAsia" w:ascii="宋体" w:hAnsi="宋体" w:eastAsia="宋体" w:cs="宋体"/>
          <w:sz w:val="28"/>
          <w:szCs w:val="28"/>
          <w:lang w:val="en-US" w:eastAsia="zh-CN"/>
        </w:rPr>
        <w:t>中型及重型货车用</w:t>
      </w:r>
      <w:r>
        <w:rPr>
          <w:rFonts w:hint="eastAsia" w:ascii="宋体" w:hAnsi="宋体" w:eastAsia="宋体" w:cs="宋体"/>
          <w:sz w:val="28"/>
          <w:szCs w:val="28"/>
        </w:rPr>
        <w:t>摩擦衬块》</w:t>
      </w:r>
      <w:r>
        <w:rPr>
          <w:rFonts w:hint="eastAsia" w:ascii="宋体" w:hAnsi="宋体" w:eastAsia="宋体" w:cs="宋体"/>
          <w:sz w:val="28"/>
          <w:szCs w:val="28"/>
          <w:lang w:val="en-US" w:eastAsia="zh-CN"/>
        </w:rPr>
        <w:t>在2020年11月已发布</w:t>
      </w:r>
      <w:r>
        <w:rPr>
          <w:rFonts w:hint="eastAsia" w:ascii="宋体" w:hAnsi="宋体" w:eastAsia="宋体" w:cs="宋体"/>
          <w:sz w:val="28"/>
          <w:szCs w:val="28"/>
        </w:rPr>
        <w:t>。</w:t>
      </w:r>
    </w:p>
    <w:p w14:paraId="48C46E6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公司持续改进质量管理,使现场作业做到整洁、有序、高效，宇鑫用高品质的产品和服务获得了市场的肯定。公司产品9</w:t>
      </w:r>
      <w:r>
        <w:rPr>
          <w:rFonts w:hint="eastAsia" w:ascii="宋体" w:hAnsi="宋体" w:eastAsia="宋体" w:cs="宋体"/>
          <w:sz w:val="28"/>
          <w:szCs w:val="28"/>
          <w:lang w:val="en-US" w:eastAsia="zh-CN"/>
        </w:rPr>
        <w:t>5</w:t>
      </w:r>
      <w:r>
        <w:rPr>
          <w:rFonts w:hint="eastAsia" w:ascii="宋体" w:hAnsi="宋体" w:eastAsia="宋体" w:cs="宋体"/>
          <w:sz w:val="28"/>
          <w:szCs w:val="28"/>
        </w:rPr>
        <w:t>%以上内销，</w:t>
      </w:r>
      <w:r>
        <w:rPr>
          <w:rFonts w:hint="eastAsia" w:ascii="宋体" w:hAnsi="宋体" w:eastAsia="宋体" w:cs="宋体"/>
          <w:sz w:val="28"/>
          <w:szCs w:val="28"/>
          <w:lang w:val="en-US" w:eastAsia="zh-CN"/>
        </w:rPr>
        <w:t>5</w:t>
      </w:r>
      <w:r>
        <w:rPr>
          <w:rFonts w:hint="eastAsia" w:ascii="宋体" w:hAnsi="宋体" w:eastAsia="宋体" w:cs="宋体"/>
          <w:sz w:val="28"/>
          <w:szCs w:val="28"/>
        </w:rPr>
        <w:t>%</w:t>
      </w:r>
      <w:bookmarkStart w:id="0" w:name="_GoBack"/>
      <w:bookmarkEnd w:id="0"/>
      <w:r>
        <w:rPr>
          <w:rFonts w:hint="eastAsia" w:ascii="宋体" w:hAnsi="宋体" w:eastAsia="宋体" w:cs="宋体"/>
          <w:sz w:val="28"/>
          <w:szCs w:val="28"/>
        </w:rPr>
        <w:t>出口海外，远销到欧洲、中东等国家和地区。</w:t>
      </w:r>
    </w:p>
    <w:p w14:paraId="68DCD1AF">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桐庐宇鑫汽配有限公司作为行业内的中坚力量，未来将秉承“求真务实、大胆创新”的企业精神，为“打造汽车配件领域标杆，成为国际一流汽车配件供应商”的愿景而不懈努力。</w:t>
      </w:r>
    </w:p>
    <w:p w14:paraId="278EE962">
      <w:pPr>
        <w:spacing w:line="360" w:lineRule="auto"/>
        <w:ind w:firstLine="560"/>
        <w:rPr>
          <w:rFonts w:ascii="宋体" w:hAnsi="宋体"/>
          <w:sz w:val="28"/>
          <w:szCs w:val="28"/>
        </w:rPr>
      </w:pPr>
    </w:p>
    <w:p w14:paraId="63BC295D">
      <w:pPr>
        <w:spacing w:line="560" w:lineRule="exact"/>
        <w:ind w:firstLine="560"/>
        <w:rPr>
          <w:rFonts w:ascii="宋体" w:hAnsi="宋体"/>
          <w:sz w:val="28"/>
          <w:szCs w:val="28"/>
        </w:rPr>
      </w:pPr>
    </w:p>
    <w:p w14:paraId="7DFD0C6E">
      <w:pPr>
        <w:spacing w:line="560" w:lineRule="exact"/>
        <w:ind w:firstLine="560"/>
        <w:rPr>
          <w:rFonts w:ascii="宋体" w:hAnsi="宋体"/>
          <w:sz w:val="28"/>
          <w:szCs w:val="28"/>
        </w:rPr>
      </w:pPr>
    </w:p>
    <w:p w14:paraId="0E3BD345">
      <w:pPr>
        <w:spacing w:line="560" w:lineRule="exact"/>
        <w:ind w:firstLine="560"/>
        <w:rPr>
          <w:rFonts w:ascii="宋体" w:hAnsi="宋体"/>
          <w:sz w:val="28"/>
          <w:szCs w:val="28"/>
        </w:rPr>
      </w:pPr>
    </w:p>
    <w:p w14:paraId="47035892">
      <w:pPr>
        <w:spacing w:line="560" w:lineRule="exact"/>
        <w:ind w:firstLine="560"/>
        <w:rPr>
          <w:rFonts w:ascii="宋体" w:hAnsi="宋体"/>
          <w:sz w:val="28"/>
          <w:szCs w:val="28"/>
        </w:rPr>
      </w:pPr>
    </w:p>
    <w:p w14:paraId="49AEA8FB">
      <w:pPr>
        <w:spacing w:line="360" w:lineRule="exact"/>
        <w:ind w:firstLine="560"/>
        <w:rPr>
          <w:rFonts w:ascii="宋体" w:hAnsi="宋体"/>
          <w:sz w:val="28"/>
          <w:szCs w:val="28"/>
        </w:rPr>
        <w:sectPr>
          <w:footerReference r:id="rId8" w:type="default"/>
          <w:pgSz w:w="11906" w:h="16838"/>
          <w:pgMar w:top="1723" w:right="1474" w:bottom="1361" w:left="1587" w:header="851" w:footer="567" w:gutter="0"/>
          <w:cols w:space="0" w:num="1"/>
          <w:docGrid w:type="lines" w:linePitch="312" w:charSpace="0"/>
        </w:sectPr>
      </w:pPr>
    </w:p>
    <w:p w14:paraId="5F303FE7">
      <w:pPr>
        <w:tabs>
          <w:tab w:val="right" w:leader="dot" w:pos="9060"/>
        </w:tabs>
        <w:spacing w:line="360" w:lineRule="exact"/>
        <w:ind w:left="210"/>
        <w:jc w:val="left"/>
        <w:rPr>
          <w:rFonts w:ascii="宋体" w:hAnsi="宋体" w:eastAsia="宋体" w:cs="宋体"/>
          <w:smallCaps/>
          <w:sz w:val="24"/>
          <w:szCs w:val="24"/>
        </w:rPr>
      </w:pPr>
    </w:p>
    <w:p w14:paraId="3AA720B8">
      <w:pPr>
        <w:autoSpaceDE w:val="0"/>
        <w:autoSpaceDN w:val="0"/>
        <w:adjustRightInd w:val="0"/>
        <w:spacing w:line="520" w:lineRule="exact"/>
        <w:jc w:val="center"/>
        <w:rPr>
          <w:rFonts w:ascii="黑体" w:eastAsia="黑体" w:cs="黑体"/>
          <w:kern w:val="0"/>
          <w:sz w:val="44"/>
          <w:szCs w:val="44"/>
        </w:rPr>
      </w:pPr>
      <w:r>
        <w:rPr>
          <w:rFonts w:hint="eastAsia" w:ascii="黑体" w:eastAsia="黑体" w:cs="黑体"/>
          <w:kern w:val="0"/>
          <w:sz w:val="44"/>
          <w:szCs w:val="44"/>
        </w:rPr>
        <w:t>社会责任报告</w:t>
      </w:r>
    </w:p>
    <w:p w14:paraId="21B03DFE">
      <w:pPr>
        <w:autoSpaceDE w:val="0"/>
        <w:autoSpaceDN w:val="0"/>
        <w:adjustRightInd w:val="0"/>
        <w:spacing w:line="360" w:lineRule="exact"/>
        <w:jc w:val="left"/>
        <w:rPr>
          <w:rFonts w:ascii="Cambria" w:hAnsi="Cambria" w:eastAsia="黑体" w:cs="Cambria"/>
          <w:kern w:val="0"/>
          <w:sz w:val="26"/>
          <w:szCs w:val="26"/>
        </w:rPr>
      </w:pPr>
    </w:p>
    <w:p w14:paraId="41AAE5F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作为一家富有社会责任感的企业，宇鑫在注重企业运行的同时，尽可能兼顾各相关方的不同需求，将保护他们的权益视为自身责任，并付诸于实际行动之中。作为国内</w:t>
      </w:r>
      <w:r>
        <w:rPr>
          <w:rFonts w:hint="eastAsia" w:ascii="宋体" w:hAnsi="宋体" w:eastAsia="宋体" w:cs="宋体"/>
          <w:sz w:val="28"/>
          <w:szCs w:val="28"/>
          <w:lang w:val="en-US" w:eastAsia="zh-CN"/>
        </w:rPr>
        <w:t>摩擦材料</w:t>
      </w:r>
      <w:r>
        <w:rPr>
          <w:rFonts w:hint="eastAsia" w:ascii="宋体" w:hAnsi="宋体" w:eastAsia="宋体" w:cs="宋体"/>
          <w:sz w:val="28"/>
          <w:szCs w:val="28"/>
        </w:rPr>
        <w:t>行业的领军者，公司切实履行了企业社会责任。从社会、环境、经济和谐的大系统角度，审视社会责任和企业长远发展的关系，把社会责任转化为企业发展的动力和长期利益。</w:t>
      </w:r>
    </w:p>
    <w:p w14:paraId="573EA581">
      <w:pPr>
        <w:spacing w:line="360" w:lineRule="auto"/>
        <w:rPr>
          <w:rFonts w:ascii="宋体" w:hAnsi="宋体" w:eastAsia="宋体" w:cs="宋体"/>
          <w:b/>
          <w:sz w:val="28"/>
          <w:szCs w:val="28"/>
        </w:rPr>
      </w:pPr>
      <w:r>
        <w:rPr>
          <w:rFonts w:hint="eastAsia" w:ascii="宋体" w:hAnsi="宋体" w:eastAsia="宋体" w:cs="宋体"/>
          <w:b/>
          <w:sz w:val="28"/>
          <w:szCs w:val="28"/>
        </w:rPr>
        <w:t>一、公司治理结构</w:t>
      </w:r>
    </w:p>
    <w:p w14:paraId="08213122">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公司根据《中华人民共和国公司法》等法律、法规和本公司章程，建立了规范的公司治理结构。不断完善股东大会、董事会、监事会制度。形成权力机构、决策机构、监督机构与经理层之间有效制衡的法人治理结构。股东大会享有法律法规和《公司章程》规定的合法权力，依法行使确定公司经营方针、重大筹资、投资、利润分配等重大事项的职权。董事会对股东大会负责，依法行使公司的经营决策权。监事会对股东大会负责，监督公司董事和其他高级管理人员依法履行职责。“三会”运作不断规范，制度不断健全完善，形成了一整套相互制衡、行之有效的内部管理和控制制度体系。公司完善的法人治理结构，从根本上保障了股东和债权人的合法权益。20</w:t>
      </w:r>
      <w:r>
        <w:rPr>
          <w:rFonts w:hint="eastAsia" w:ascii="宋体" w:hAnsi="宋体" w:eastAsia="宋体" w:cs="宋体"/>
          <w:sz w:val="28"/>
          <w:szCs w:val="28"/>
          <w:lang w:val="en-US" w:eastAsia="zh-CN"/>
        </w:rPr>
        <w:t>20</w:t>
      </w:r>
      <w:r>
        <w:rPr>
          <w:rFonts w:hint="eastAsia" w:ascii="宋体" w:hAnsi="宋体" w:eastAsia="宋体" w:cs="宋体"/>
          <w:sz w:val="28"/>
          <w:szCs w:val="28"/>
        </w:rPr>
        <w:t>年度,公司召开股东大会、董事会和监事会会议。公司“三会”的召集、通知、召开、审议事项、表决程序及决议公告均符合法律法规和《公司章程》的规定。公司公平对待所有股东，确保股东充分享有法律、法规、规章所规定的各项合法权益。</w:t>
      </w:r>
    </w:p>
    <w:p w14:paraId="6941023C">
      <w:pPr>
        <w:pStyle w:val="2"/>
      </w:pPr>
    </w:p>
    <w:p w14:paraId="3FA1813E">
      <w:pPr>
        <w:spacing w:line="360" w:lineRule="auto"/>
        <w:rPr>
          <w:rFonts w:ascii="宋体" w:hAnsi="宋体" w:eastAsia="宋体" w:cs="宋体"/>
          <w:b/>
          <w:sz w:val="28"/>
          <w:szCs w:val="28"/>
        </w:rPr>
      </w:pPr>
      <w:r>
        <w:rPr>
          <w:rFonts w:hint="eastAsia" w:ascii="宋体" w:hAnsi="宋体" w:eastAsia="宋体" w:cs="宋体"/>
          <w:b/>
          <w:sz w:val="28"/>
          <w:szCs w:val="28"/>
        </w:rPr>
        <w:t>二、股东权益保护</w:t>
      </w:r>
    </w:p>
    <w:p w14:paraId="44664750">
      <w:pPr>
        <w:spacing w:line="640" w:lineRule="exact"/>
        <w:ind w:firstLine="560" w:firstLineChars="200"/>
        <w:rPr>
          <w:rFonts w:ascii="宋体" w:hAnsi="宋体" w:eastAsia="宋体" w:cs="宋体"/>
          <w:sz w:val="28"/>
          <w:szCs w:val="28"/>
        </w:rPr>
      </w:pPr>
      <w:r>
        <w:rPr>
          <w:rFonts w:hint="eastAsia" w:ascii="宋体" w:hAnsi="宋体" w:eastAsia="宋体" w:cs="宋体"/>
          <w:sz w:val="28"/>
          <w:szCs w:val="28"/>
        </w:rPr>
        <w:t>（一）公司快速稳健发展、实现良好经营业绩是保护股东利益的重要基础。</w:t>
      </w:r>
    </w:p>
    <w:p w14:paraId="106D55F2">
      <w:pPr>
        <w:spacing w:line="640" w:lineRule="exact"/>
        <w:ind w:firstLine="420" w:firstLineChars="150"/>
        <w:rPr>
          <w:rFonts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年，公司根据相关法律的要求，结合公司实际运行状况，修订了各项规章制度。不断完善公司法人治理结构，健全内部控制体系，进一步规范公司运作，提高治理水平。</w:t>
      </w:r>
    </w:p>
    <w:p w14:paraId="35F9E7A3">
      <w:pPr>
        <w:spacing w:line="640" w:lineRule="exact"/>
        <w:ind w:firstLine="560" w:firstLineChars="200"/>
        <w:rPr>
          <w:rFonts w:ascii="宋体" w:hAnsi="宋体" w:eastAsia="宋体" w:cs="宋体"/>
          <w:sz w:val="28"/>
          <w:szCs w:val="28"/>
        </w:rPr>
      </w:pPr>
      <w:r>
        <w:rPr>
          <w:rFonts w:hint="eastAsia" w:ascii="宋体" w:hAnsi="宋体" w:eastAsia="宋体" w:cs="宋体"/>
          <w:sz w:val="28"/>
          <w:szCs w:val="28"/>
        </w:rPr>
        <w:t>公司时刻关注监管部门出台的最新法规和规章，对公司内部控制制度进行了持续完善。通过不断完善内部控制制度，切实提高公司的治理水平。同时结合公司的实际情况，对相关的业务流程及经营管理等各层面、各环节的控制制度进行了不断的完善与改进。</w:t>
      </w:r>
    </w:p>
    <w:p w14:paraId="26D11E2A">
      <w:pPr>
        <w:spacing w:line="360" w:lineRule="auto"/>
        <w:ind w:firstLine="141" w:firstLineChars="50"/>
        <w:rPr>
          <w:rFonts w:ascii="宋体" w:hAnsi="宋体" w:eastAsia="宋体" w:cs="宋体"/>
          <w:b/>
          <w:sz w:val="28"/>
          <w:szCs w:val="28"/>
        </w:rPr>
      </w:pPr>
      <w:r>
        <w:rPr>
          <w:rFonts w:hint="eastAsia" w:ascii="宋体" w:hAnsi="宋体" w:eastAsia="宋体" w:cs="宋体"/>
          <w:b/>
          <w:sz w:val="28"/>
          <w:szCs w:val="28"/>
        </w:rPr>
        <w:t>三、员工权益维护</w:t>
      </w:r>
    </w:p>
    <w:p w14:paraId="33F7EB01">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公司严格遵守《劳动法》、《合同法》，建立关爱维权组织，推行集体合同，依法保护职工的合法权益，切实维护员工民主管理权益；健全劳动安全卫生制度，改善劳动环境，保障职工劳动安全，降低了工伤事故率，保障职工身心健康；开展教育培训和各种文娱体育活动，陶冶了职工情操，营造了“求真务实、大胆创新”的企业精神，使企业凝聚力进一步增强，构建了劳资和谐的双赢格局。</w:t>
      </w:r>
    </w:p>
    <w:p w14:paraId="39EBBEFF">
      <w:pPr>
        <w:autoSpaceDE w:val="0"/>
        <w:autoSpaceDN w:val="0"/>
        <w:adjustRightInd w:val="0"/>
        <w:spacing w:line="360" w:lineRule="auto"/>
        <w:ind w:firstLine="560" w:firstLineChars="200"/>
        <w:jc w:val="left"/>
        <w:rPr>
          <w:rFonts w:ascii="宋体" w:hAnsi="宋体" w:eastAsia="宋体" w:cs="宋体"/>
          <w:sz w:val="28"/>
          <w:szCs w:val="28"/>
        </w:rPr>
      </w:pPr>
      <w:r>
        <w:rPr>
          <w:rFonts w:hint="eastAsia" w:ascii="宋体" w:hAnsi="宋体" w:eastAsia="宋体" w:cs="宋体"/>
          <w:sz w:val="28"/>
          <w:szCs w:val="28"/>
        </w:rPr>
        <w:t>一年来，公司没有发生重特大安全事故，没有发生消防事故。</w:t>
      </w:r>
    </w:p>
    <w:p w14:paraId="662F178A">
      <w:pPr>
        <w:autoSpaceDE w:val="0"/>
        <w:autoSpaceDN w:val="0"/>
        <w:adjustRightInd w:val="0"/>
        <w:spacing w:line="360" w:lineRule="auto"/>
        <w:ind w:firstLine="560" w:firstLineChars="200"/>
        <w:jc w:val="left"/>
        <w:rPr>
          <w:rFonts w:ascii="宋体" w:hAnsi="宋体" w:eastAsia="宋体" w:cs="宋体"/>
          <w:color w:val="FF0000"/>
          <w:sz w:val="28"/>
          <w:szCs w:val="28"/>
        </w:rPr>
      </w:pPr>
      <w:r>
        <w:rPr>
          <w:rFonts w:hint="eastAsia" w:ascii="宋体" w:hAnsi="宋体" w:eastAsia="宋体" w:cs="宋体"/>
          <w:sz w:val="28"/>
          <w:szCs w:val="28"/>
        </w:rPr>
        <w:t>（一）完善用工管理制度，切实保障职工合法权益。公司严格遵守《劳动法》、《合同法》，依法保护职工的合法权益。公司所有员工均按照国家和地方有关法律法规要求与公司签订了《劳动合同》。公司按照国家和地方法律、法规建立包括薪酬体系、激励机制，以及养老、医疗、工伤、失业、生育在内的保险与福利制度。推进人事制度改革，合理设置岗位，明确岗位职责，规范用工，促进劳资关系的和谐稳定。</w:t>
      </w:r>
    </w:p>
    <w:p w14:paraId="2BE3EBF8">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推行集体合同，切实维护员工民主管理权益。每年年底，公司严格按照《集体合同》的要求，遵循工资集体协商制度和流程，对来年的集体合同和工资进行公司与工会的集体协商。不仅保证了职工的合法权益，还最大限度地确保了职工薪酬透明与公平。</w:t>
      </w:r>
    </w:p>
    <w:p w14:paraId="0F2A91CD">
      <w:pPr>
        <w:widowControl/>
        <w:shd w:val="clear" w:color="auto" w:fill="FFFFFF"/>
        <w:spacing w:line="360" w:lineRule="auto"/>
        <w:ind w:firstLine="560" w:firstLineChars="200"/>
        <w:jc w:val="left"/>
        <w:rPr>
          <w:rFonts w:ascii="宋体" w:hAnsi="宋体" w:eastAsia="宋体" w:cs="宋体"/>
          <w:color w:val="FF0000"/>
          <w:sz w:val="28"/>
          <w:szCs w:val="28"/>
        </w:rPr>
      </w:pPr>
      <w:r>
        <w:rPr>
          <w:rFonts w:hint="eastAsia" w:ascii="宋体" w:hAnsi="宋体" w:eastAsia="宋体" w:cs="宋体"/>
          <w:sz w:val="28"/>
          <w:szCs w:val="28"/>
        </w:rPr>
        <w:t>公司支持工会依法开展工作，重视民主公开管理。对工资、福利、劳动安全卫生、社会保险等涉及员工切身利益的事项，通过职工代表大会、工会会议的形式听取员工的意见，关心和重视职工的合理要求；公司还通过平等协商，成功化解劳资矛盾，解决了多起员工内部矛盾，维护当事人利益。同时，公司对除国家法律、法规规定的保密事项和商业秘密外，还对企业理念与愿景、发展规划、年度计划和总结、重大经营决策、改革方案、内部干部选拔、职工奖罚及教育、培训、工资、福利、劳动保护措施、职业病危害监控情况等涉及职工切身利益事项通过职代会、公告栏、企业内部多媒体管理平台、早会、各类例会、协调会、分析会、总结会、企业报、网站、信箱、员工手册等方式进行公开，来维护员工对企业重大事项的知情权和参与权。</w:t>
      </w:r>
    </w:p>
    <w:p w14:paraId="549881CE">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三）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按照相关法律、法规要求，对企业的生产作业场所每年进行一次职业病危害因素的检测与分析，每年进行一次职业健康安全管理体系的监督审核，确保体系的有效实施和可持续发展。在日常工作中，为生产工人发放全套的劳动防护用品，定期检查和更换。严格执行GB/T45001职业健康安全管理体系的要求，每年委托对一线生产员工进行定期、不定期的岗前、在岗和离岗前的职业病专项体检，切实保护员工身体健康，建立和健全员工职业健康档案，获“安全生产标准化三级达标企业”称号。</w:t>
      </w:r>
    </w:p>
    <w:p w14:paraId="0F8D3A8F">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（四）持续推进安全生产工作。公司始终把安全生产作为企业发展的永恒主题，连续多年开展了安全生产竞赛活动。</w:t>
      </w:r>
    </w:p>
    <w:p w14:paraId="3F3A8726">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（五）积极举办员工教育培训，开展各种文娱体育活动。 </w:t>
      </w:r>
    </w:p>
    <w:p w14:paraId="1663AA6D">
      <w:pPr>
        <w:spacing w:line="360" w:lineRule="auto"/>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rPr>
        <w:t>公司一直坚持“以人为本”的人才战略。识人才、重人才，并针对人才展开相应的培训，旨在通过激发员工的潜力，提升员工工作的愉悦度，实现公司与员工的双赢。</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度，公司通过图文视频、案例教学、课堂讲授、操作演练、公司集会、部门例会、自我专业学习、研讨会、个人进修、总裁高级研修班、管理专题论坛/讲座、在职开发、“请进来、走出去”式培训、内部研讨、轮流任职、在职学历教育、专题培训、以师带徒等方式，开展车间员工产品质量知识培训、消防培训、现场急救知识培训、经销商的开发与渠道维护技能提升等方面培训，通过各种培训，不仅提升了员工的专业素质和综合素质，而且大大提高了工作的效率和质量。此外，公司积极开展新员工岗前培训、新业务员产品知识培训，支持员工参加业余进修培训，不断提高公司员工整体素质。</w:t>
      </w:r>
      <w:r>
        <w:rPr>
          <w:rFonts w:hint="eastAsia" w:ascii="宋体" w:hAnsi="宋体" w:eastAsia="宋体" w:cs="宋体"/>
          <w:color w:val="000000" w:themeColor="text1"/>
          <w:sz w:val="28"/>
          <w:szCs w:val="28"/>
          <w:lang w:eastAsia="zh-CN"/>
          <w14:textFill>
            <w14:solidFill>
              <w14:schemeClr w14:val="tx1"/>
            </w14:solidFill>
          </w14:textFill>
        </w:rPr>
        <w:t>202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年，公司积极开展茶话会、游戏竞赛、劳动竞赛等活动丰富职工生活。并组织了公司员工</w:t>
      </w:r>
      <w:r>
        <w:rPr>
          <w:rFonts w:hint="eastAsia" w:ascii="宋体" w:hAnsi="宋体" w:eastAsia="宋体" w:cs="宋体"/>
          <w:color w:val="000000" w:themeColor="text1"/>
          <w:sz w:val="28"/>
          <w:szCs w:val="28"/>
          <w:lang w:val="en-US" w:eastAsia="zh-CN"/>
          <w14:textFill>
            <w14:solidFill>
              <w14:schemeClr w14:val="tx1"/>
            </w14:solidFill>
          </w14:textFill>
        </w:rPr>
        <w:t>三亚</w:t>
      </w:r>
      <w:r>
        <w:rPr>
          <w:rFonts w:hint="eastAsia" w:ascii="宋体" w:hAnsi="宋体" w:eastAsia="宋体" w:cs="宋体"/>
          <w:color w:val="000000" w:themeColor="text1"/>
          <w:sz w:val="28"/>
          <w:szCs w:val="28"/>
          <w14:textFill>
            <w14:solidFill>
              <w14:schemeClr w14:val="tx1"/>
            </w14:solidFill>
          </w14:textFill>
        </w:rPr>
        <w:t>旅游，激发员工的归属感、荣誉感、团队精神和工作积极性，增强员工的凝聚力。</w:t>
      </w:r>
    </w:p>
    <w:p w14:paraId="43F73EAD">
      <w:pPr>
        <w:spacing w:line="360" w:lineRule="auto"/>
        <w:rPr>
          <w:rFonts w:ascii="宋体" w:hAnsi="宋体" w:eastAsia="宋体" w:cs="宋体"/>
          <w:b/>
          <w:sz w:val="28"/>
          <w:szCs w:val="28"/>
        </w:rPr>
      </w:pPr>
      <w:r>
        <w:rPr>
          <w:rFonts w:hint="eastAsia" w:ascii="宋体" w:hAnsi="宋体" w:eastAsia="宋体" w:cs="宋体"/>
          <w:b/>
          <w:sz w:val="28"/>
          <w:szCs w:val="28"/>
        </w:rPr>
        <w:t>四、注重保护环境，促进公司可持续发展</w:t>
      </w:r>
    </w:p>
    <w:p w14:paraId="35722834">
      <w:pPr>
        <w:spacing w:line="360" w:lineRule="auto"/>
        <w:ind w:firstLine="560" w:firstLineChars="200"/>
        <w:rPr>
          <w:rFonts w:ascii="宋体" w:hAnsi="宋体" w:eastAsia="宋体" w:cs="宋体"/>
          <w:color w:val="FF0000"/>
          <w:sz w:val="28"/>
          <w:szCs w:val="28"/>
        </w:rPr>
      </w:pPr>
      <w:r>
        <w:rPr>
          <w:rFonts w:hint="eastAsia" w:ascii="宋体" w:hAnsi="宋体" w:eastAsia="宋体" w:cs="宋体"/>
          <w:sz w:val="28"/>
          <w:szCs w:val="28"/>
        </w:rPr>
        <w:t>作为国家级高新技术企业，公司始终把环境保护作为可持续发展的重要内容。坚持技术创新，节能减排，力争把公司发展对环境的影响降到最小程度。</w:t>
      </w: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年公司对</w:t>
      </w:r>
      <w:r>
        <w:rPr>
          <w:rFonts w:hint="eastAsia" w:ascii="宋体" w:hAnsi="宋体" w:eastAsia="宋体" w:cs="宋体"/>
          <w:sz w:val="28"/>
          <w:szCs w:val="28"/>
          <w:lang w:val="en-US" w:eastAsia="zh-CN"/>
        </w:rPr>
        <w:t>总装车间生产线进行更新，将之前众多加工工序由多工位改进为自动化一体生产线，</w:t>
      </w:r>
      <w:r>
        <w:rPr>
          <w:rFonts w:hint="eastAsia" w:ascii="宋体" w:hAnsi="宋体" w:eastAsia="宋体" w:cs="宋体"/>
          <w:sz w:val="28"/>
          <w:szCs w:val="28"/>
        </w:rPr>
        <w:t>不但提高了生产效益，也使车间内部的环境得到了极大的改善。</w:t>
      </w:r>
    </w:p>
    <w:p w14:paraId="6777C10A">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通过清洁生产、节能降耗，减少了三废的排放。通过完善的安全环保组织机构和环境管理制度，污染治理工作效果显著，运行规范， ISO14001环境管理体系得到了有效的运行。</w:t>
      </w:r>
    </w:p>
    <w:p w14:paraId="3BBADD77">
      <w:pPr>
        <w:tabs>
          <w:tab w:val="left" w:pos="426"/>
        </w:tabs>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另外，公司通过宣传栏、内部报刊、横幅等形式，不断增强员工节能降耗、环境保护的意识，培养员工在工作和生活中养成自觉节约用电、用水、用纸、用油的习惯。公司通过对打印、复印集合统一管理，纸张双面综合重复利用，墨盒、硒鼓以旧换新等，节约了大量纸张、墨盒消耗，减少资源占用。</w:t>
      </w:r>
      <w:r>
        <w:rPr>
          <w:rFonts w:hint="eastAsia" w:ascii="宋体" w:hAnsi="宋体" w:eastAsia="宋体" w:cs="宋体"/>
          <w:sz w:val="28"/>
          <w:szCs w:val="28"/>
        </w:rPr>
        <w:br w:type="textWrapping"/>
      </w:r>
      <w:r>
        <w:rPr>
          <w:rFonts w:hint="eastAsia" w:ascii="宋体" w:hAnsi="宋体" w:eastAsia="宋体" w:cs="宋体"/>
          <w:sz w:val="28"/>
          <w:szCs w:val="28"/>
        </w:rPr>
        <w:t xml:space="preserve">    在日常生产过程中，公司所产生的危废统一分类收集，委托有资质的第三方处置，严格按国家环保要求操作，最大限度地减少企业对环境的影响。</w:t>
      </w:r>
    </w:p>
    <w:p w14:paraId="49CD16E0">
      <w:pPr>
        <w:pStyle w:val="2"/>
      </w:pPr>
    </w:p>
    <w:p w14:paraId="730C2F90">
      <w:pPr>
        <w:spacing w:line="360" w:lineRule="auto"/>
        <w:rPr>
          <w:rFonts w:ascii="宋体" w:hAnsi="宋体" w:eastAsia="宋体" w:cs="宋体"/>
          <w:b/>
          <w:sz w:val="28"/>
          <w:szCs w:val="28"/>
        </w:rPr>
      </w:pPr>
      <w:r>
        <w:rPr>
          <w:rFonts w:hint="eastAsia" w:ascii="宋体" w:hAnsi="宋体" w:eastAsia="宋体" w:cs="宋体"/>
          <w:b/>
          <w:sz w:val="28"/>
          <w:szCs w:val="28"/>
        </w:rPr>
        <w:t>五、供应商、客户和消费者权益保护</w:t>
      </w:r>
    </w:p>
    <w:p w14:paraId="66B4C871">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公司继续追求与政府、客户、价值链伙伴、同业、公众和谐共生，共同创造价值、分享成功；公司建立保护客户、供应商权益机制，注重与相关方的沟通与互动，构筑信任与合作的基础。注重在企业运行的同时，尽可能兼顾相关方的不同需求，将保护他们的权益视为自身责任，努力付诸行动。</w:t>
      </w:r>
      <w:r>
        <w:rPr>
          <w:rFonts w:hint="eastAsia" w:ascii="宋体" w:hAnsi="宋体" w:eastAsia="宋体" w:cs="宋体"/>
          <w:sz w:val="28"/>
          <w:szCs w:val="28"/>
        </w:rPr>
        <w:br w:type="textWrapping"/>
      </w:r>
      <w:r>
        <w:rPr>
          <w:rFonts w:hint="eastAsia" w:ascii="宋体" w:hAnsi="宋体" w:eastAsia="宋体" w:cs="宋体"/>
          <w:sz w:val="28"/>
          <w:szCs w:val="28"/>
        </w:rPr>
        <w:t xml:space="preserve">    （一）公司经过现场考察或市场调查、产品试样、样品确认等步骤来选择供应商。只有那些管理到位、产品质量可靠、有发展潜力和具备先进理念的企业才有可能进入公司的供应体系。公司每月按交货期、质量、价格等方面对每个供应商进行评分，并将结果及时反馈给供应商，以便供应商了解不足，寻求改进。公司每年组织生产、技术、品质、采购等相关部门人员对供应商进行现场评定，评定内容包括供应商的现场管理水平、质量保证能力、设备和人员情况、相关检验设备和手段等，并依据现场评定表对每项进行评分。公司坚持与供应商保持互惠互利、合作共赢的良性关系。公司坚持诚信经营、利益共享、互惠互利的原则，不断完善采购流程与机制。建立公平、公正的评估体系，尊重供应商的合理报价，维护供应商的产品利益和技术开发利益。在公开、公平、公正的前提下与供应商建立了良好的战略合作伙伴关系，实现了公司与供应商的双赢局面。</w:t>
      </w:r>
    </w:p>
    <w:p w14:paraId="36EB80CD">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二）公司积极树立在客户心目中的良好形象，提升品牌内涵。定期进行客户满意度调查，征集客户意见，制定整改措施。有针对性地加以整改，并完善服务机构配置，提供优质的售前、售中及售后工程师现场的技术服务。在设计、制造、维护保养时为客户提供全方位的技术支持和监督指导服务，每一位技术服务代表都配备先进检验的仪器，确保每一项工作都按照实际要求进行，使客户放心。</w:t>
      </w:r>
    </w:p>
    <w:p w14:paraId="1ED8466C">
      <w:pPr>
        <w:spacing w:line="360" w:lineRule="auto"/>
        <w:ind w:firstLine="560" w:firstLineChars="200"/>
        <w:rPr>
          <w:rFonts w:ascii="宋体" w:hAnsi="宋体" w:eastAsia="宋体" w:cs="宋体"/>
          <w:sz w:val="28"/>
          <w:szCs w:val="28"/>
        </w:rPr>
      </w:pPr>
      <w:r>
        <w:rPr>
          <w:rFonts w:hint="eastAsia" w:ascii="宋体" w:hAnsi="宋体" w:eastAsia="宋体" w:cs="宋体"/>
          <w:sz w:val="28"/>
          <w:szCs w:val="28"/>
        </w:rPr>
        <w:t>（三）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商标权、专利权等知识产权。经考核测评，被认定为</w:t>
      </w:r>
      <w:r>
        <w:rPr>
          <w:rFonts w:hint="eastAsia" w:ascii="宋体" w:hAnsi="宋体" w:eastAsia="宋体" w:cs="宋体"/>
          <w:sz w:val="28"/>
          <w:szCs w:val="28"/>
          <w:lang w:val="en-US" w:eastAsia="zh-CN"/>
        </w:rPr>
        <w:t>A</w:t>
      </w:r>
      <w:r>
        <w:rPr>
          <w:rFonts w:hint="eastAsia" w:ascii="宋体" w:hAnsi="宋体" w:eastAsia="宋体" w:cs="宋体"/>
          <w:sz w:val="28"/>
          <w:szCs w:val="28"/>
        </w:rPr>
        <w:t>AA级“重合同守信用”单位</w:t>
      </w:r>
      <w:r>
        <w:rPr>
          <w:rFonts w:hint="eastAsia" w:ascii="宋体" w:hAnsi="宋体" w:eastAsia="宋体" w:cs="宋体"/>
          <w:sz w:val="28"/>
          <w:szCs w:val="28"/>
          <w:lang w:val="en-US" w:eastAsia="zh-CN"/>
        </w:rPr>
        <w:t>以及杭州市信用管理示范企业</w:t>
      </w:r>
      <w:r>
        <w:rPr>
          <w:rFonts w:hint="eastAsia" w:ascii="宋体" w:hAnsi="宋体" w:eastAsia="宋体" w:cs="宋体"/>
          <w:sz w:val="28"/>
          <w:szCs w:val="28"/>
        </w:rPr>
        <w:t>。</w:t>
      </w:r>
    </w:p>
    <w:p w14:paraId="1CB37EFF">
      <w:pPr>
        <w:spacing w:line="360" w:lineRule="auto"/>
        <w:rPr>
          <w:rFonts w:ascii="宋体" w:hAnsi="宋体" w:eastAsia="宋体" w:cs="宋体"/>
          <w:b/>
          <w:sz w:val="28"/>
          <w:szCs w:val="28"/>
        </w:rPr>
      </w:pPr>
      <w:r>
        <w:rPr>
          <w:rFonts w:hint="eastAsia" w:ascii="宋体" w:hAnsi="宋体" w:eastAsia="宋体" w:cs="宋体"/>
          <w:b/>
          <w:sz w:val="28"/>
          <w:szCs w:val="28"/>
        </w:rPr>
        <w:t>六、社会公益事业和公共关系</w:t>
      </w:r>
    </w:p>
    <w:p w14:paraId="6888695F">
      <w:pPr>
        <w:ind w:firstLine="560" w:firstLineChars="200"/>
        <w:rPr>
          <w:rFonts w:hint="eastAsia"/>
          <w:sz w:val="28"/>
          <w:szCs w:val="28"/>
        </w:rPr>
      </w:pPr>
      <w:r>
        <w:rPr>
          <w:rFonts w:hint="eastAsia"/>
          <w:sz w:val="28"/>
          <w:szCs w:val="28"/>
        </w:rPr>
        <w:t>公司高层领导基于企业文化的责任意识，倡导为社会创造价值。在兼顾公司和股东利益的前提下，积极参与各类社会公益活动。注重考虑社区利益，构建和谐和友善的公共关系，努力回报社会。依据公司的发展方向和战略重点，把支持教育文化事业、社区、慈善事业和行业发展等方面作为公益事业重点支持方向，积极有效地开展公益活动。根据企业不同发展阶段和战略重点确定投入公益支持的原则和优先次序，做到既真正有利于社会，又有利于企业发展。结合企业使命、愿景和价值观以及企业发展战略确定了公益支持的四个重点领域为教育关怀、慈善事业、社区支持、行业发展。</w:t>
      </w:r>
    </w:p>
    <w:p w14:paraId="34E21D50">
      <w:pPr>
        <w:ind w:firstLine="560" w:firstLineChars="200"/>
      </w:pPr>
      <w:r>
        <w:rPr>
          <w:rFonts w:hint="eastAsia"/>
          <w:sz w:val="28"/>
          <w:szCs w:val="28"/>
          <w:lang w:eastAsia="zh-CN"/>
        </w:rPr>
        <w:t>202</w:t>
      </w:r>
      <w:r>
        <w:rPr>
          <w:rFonts w:hint="eastAsia"/>
          <w:sz w:val="28"/>
          <w:szCs w:val="28"/>
          <w:lang w:val="en-US" w:eastAsia="zh-CN"/>
        </w:rPr>
        <w:t>5</w:t>
      </w:r>
      <w:r>
        <w:rPr>
          <w:rFonts w:hint="eastAsia"/>
          <w:sz w:val="28"/>
          <w:szCs w:val="28"/>
        </w:rPr>
        <w:t>年公司公益事业体现社会责任方面具体情况如下：</w:t>
      </w:r>
    </w:p>
    <w:tbl>
      <w:tblPr>
        <w:tblStyle w:val="37"/>
        <w:tblW w:w="8517"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350"/>
        <w:gridCol w:w="3225"/>
      </w:tblGrid>
      <w:tr w14:paraId="351898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42" w:type="dxa"/>
            <w:tcBorders>
              <w:tl2br w:val="nil"/>
              <w:tr2bl w:val="nil"/>
            </w:tcBorders>
            <w:noWrap/>
            <w:vAlign w:val="center"/>
          </w:tcPr>
          <w:p w14:paraId="710363DE">
            <w:pPr>
              <w:ind w:left="0" w:leftChars="0" w:firstLine="0" w:firstLineChars="0"/>
              <w:jc w:val="center"/>
              <w:rPr>
                <w:rFonts w:ascii="黑体" w:hAnsi="黑体" w:eastAsia="黑体" w:cs="黑体"/>
                <w:b/>
                <w:color w:val="auto"/>
                <w:sz w:val="24"/>
                <w:szCs w:val="20"/>
              </w:rPr>
            </w:pPr>
            <w:r>
              <w:rPr>
                <w:rFonts w:hint="eastAsia" w:ascii="黑体" w:hAnsi="黑体" w:eastAsia="黑体" w:cs="黑体"/>
                <w:b/>
                <w:bCs/>
                <w:color w:val="auto"/>
                <w:sz w:val="24"/>
                <w:szCs w:val="20"/>
              </w:rPr>
              <w:t>序号</w:t>
            </w:r>
          </w:p>
        </w:tc>
        <w:tc>
          <w:tcPr>
            <w:tcW w:w="4350" w:type="dxa"/>
            <w:tcBorders>
              <w:tl2br w:val="nil"/>
              <w:tr2bl w:val="nil"/>
            </w:tcBorders>
            <w:noWrap/>
            <w:vAlign w:val="center"/>
          </w:tcPr>
          <w:p w14:paraId="20116C68">
            <w:pPr>
              <w:jc w:val="center"/>
              <w:rPr>
                <w:rFonts w:ascii="黑体" w:hAnsi="黑体" w:eastAsia="黑体" w:cs="黑体"/>
                <w:b/>
                <w:color w:val="auto"/>
                <w:sz w:val="24"/>
                <w:szCs w:val="20"/>
              </w:rPr>
            </w:pPr>
            <w:r>
              <w:rPr>
                <w:rFonts w:hint="eastAsia" w:ascii="黑体" w:hAnsi="黑体" w:eastAsia="黑体" w:cs="黑体"/>
                <w:b/>
                <w:bCs/>
                <w:color w:val="auto"/>
                <w:sz w:val="24"/>
                <w:szCs w:val="20"/>
              </w:rPr>
              <w:t>公益支持项目</w:t>
            </w:r>
          </w:p>
        </w:tc>
        <w:tc>
          <w:tcPr>
            <w:tcW w:w="3225" w:type="dxa"/>
            <w:tcBorders>
              <w:tl2br w:val="nil"/>
              <w:tr2bl w:val="nil"/>
            </w:tcBorders>
            <w:noWrap/>
            <w:vAlign w:val="center"/>
          </w:tcPr>
          <w:p w14:paraId="5BEFCA2C">
            <w:pPr>
              <w:jc w:val="center"/>
              <w:rPr>
                <w:rFonts w:ascii="黑体" w:hAnsi="黑体" w:eastAsia="黑体" w:cs="黑体"/>
                <w:b/>
                <w:color w:val="auto"/>
                <w:sz w:val="24"/>
                <w:szCs w:val="20"/>
              </w:rPr>
            </w:pPr>
            <w:r>
              <w:rPr>
                <w:rFonts w:hint="eastAsia" w:ascii="黑体" w:hAnsi="黑体" w:eastAsia="黑体" w:cs="黑体"/>
                <w:b/>
                <w:bCs/>
                <w:color w:val="auto"/>
                <w:sz w:val="24"/>
                <w:szCs w:val="20"/>
              </w:rPr>
              <w:t>捐款（物）金额</w:t>
            </w:r>
          </w:p>
        </w:tc>
      </w:tr>
      <w:tr w14:paraId="1DCF04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2" w:type="dxa"/>
            <w:tcBorders>
              <w:tl2br w:val="nil"/>
              <w:tr2bl w:val="nil"/>
            </w:tcBorders>
            <w:noWrap/>
            <w:vAlign w:val="center"/>
          </w:tcPr>
          <w:p w14:paraId="1C2273A8">
            <w:pPr>
              <w:ind w:left="0" w:leftChars="0" w:firstLine="0" w:firstLineChars="0"/>
              <w:jc w:val="center"/>
              <w:rPr>
                <w:rFonts w:hint="eastAsia" w:ascii="黑体" w:hAnsi="黑体" w:eastAsia="黑体" w:cs="黑体"/>
                <w:color w:val="000000" w:themeColor="text1"/>
                <w:sz w:val="24"/>
                <w:szCs w:val="20"/>
                <w:lang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1</w:t>
            </w:r>
          </w:p>
        </w:tc>
        <w:tc>
          <w:tcPr>
            <w:tcW w:w="4350" w:type="dxa"/>
            <w:tcBorders>
              <w:tl2br w:val="nil"/>
              <w:tr2bl w:val="nil"/>
            </w:tcBorders>
            <w:noWrap/>
            <w:vAlign w:val="center"/>
          </w:tcPr>
          <w:p w14:paraId="69174FB4">
            <w:pPr>
              <w:ind w:left="0" w:leftChars="0" w:firstLine="0" w:firstLineChars="0"/>
              <w:jc w:val="center"/>
              <w:rPr>
                <w:rFonts w:ascii="黑体" w:hAnsi="黑体" w:eastAsia="黑体" w:cs="黑体"/>
                <w:color w:val="000000" w:themeColor="text1"/>
                <w:sz w:val="24"/>
                <w:szCs w:val="20"/>
                <w14:textFill>
                  <w14:solidFill>
                    <w14:schemeClr w14:val="tx1"/>
                  </w14:solidFill>
                </w14:textFill>
              </w:rPr>
            </w:pPr>
            <w:r>
              <w:rPr>
                <w:rFonts w:hint="eastAsia" w:ascii="黑体" w:hAnsi="黑体" w:eastAsia="黑体" w:cs="黑体"/>
                <w:color w:val="000000" w:themeColor="text1"/>
                <w:sz w:val="24"/>
                <w:szCs w:val="20"/>
                <w:lang w:eastAsia="zh-CN"/>
                <w14:textFill>
                  <w14:solidFill>
                    <w14:schemeClr w14:val="tx1"/>
                  </w14:solidFill>
                </w14:textFill>
              </w:rPr>
              <w:t>202</w:t>
            </w:r>
            <w:r>
              <w:rPr>
                <w:rFonts w:hint="eastAsia" w:ascii="黑体" w:hAnsi="黑体" w:eastAsia="黑体" w:cs="黑体"/>
                <w:color w:val="000000" w:themeColor="text1"/>
                <w:sz w:val="24"/>
                <w:szCs w:val="20"/>
                <w:lang w:val="en-US" w:eastAsia="zh-CN"/>
                <w14:textFill>
                  <w14:solidFill>
                    <w14:schemeClr w14:val="tx1"/>
                  </w14:solidFill>
                </w14:textFill>
              </w:rPr>
              <w:t>5</w:t>
            </w:r>
            <w:r>
              <w:rPr>
                <w:rFonts w:hint="eastAsia" w:ascii="黑体" w:hAnsi="黑体" w:eastAsia="黑体" w:cs="黑体"/>
                <w:color w:val="000000" w:themeColor="text1"/>
                <w:sz w:val="24"/>
                <w:szCs w:val="20"/>
                <w14:textFill>
                  <w14:solidFill>
                    <w14:schemeClr w14:val="tx1"/>
                  </w14:solidFill>
                </w14:textFill>
              </w:rPr>
              <w:t>年捐助桐庐县慈善总会</w:t>
            </w:r>
          </w:p>
        </w:tc>
        <w:tc>
          <w:tcPr>
            <w:tcW w:w="3225" w:type="dxa"/>
            <w:tcBorders>
              <w:tl2br w:val="nil"/>
              <w:tr2bl w:val="nil"/>
            </w:tcBorders>
            <w:noWrap w:val="0"/>
            <w:vAlign w:val="center"/>
          </w:tcPr>
          <w:p w14:paraId="73BD01DD">
            <w:pPr>
              <w:ind w:left="0" w:leftChars="0" w:firstLine="0" w:firstLineChars="0"/>
              <w:jc w:val="center"/>
              <w:rPr>
                <w:rFonts w:ascii="黑体" w:hAnsi="黑体" w:eastAsia="黑体" w:cs="黑体"/>
                <w:color w:val="000000" w:themeColor="text1"/>
                <w:sz w:val="24"/>
                <w:szCs w:val="20"/>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10</w:t>
            </w:r>
            <w:r>
              <w:rPr>
                <w:rFonts w:hint="eastAsia" w:ascii="黑体" w:hAnsi="黑体" w:eastAsia="黑体" w:cs="黑体"/>
                <w:color w:val="000000" w:themeColor="text1"/>
                <w:sz w:val="24"/>
                <w:szCs w:val="20"/>
                <w14:textFill>
                  <w14:solidFill>
                    <w14:schemeClr w14:val="tx1"/>
                  </w14:solidFill>
                </w14:textFill>
              </w:rPr>
              <w:t>000元</w:t>
            </w:r>
          </w:p>
        </w:tc>
      </w:tr>
      <w:tr w14:paraId="6027D2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2" w:type="dxa"/>
            <w:tcBorders>
              <w:tl2br w:val="nil"/>
              <w:tr2bl w:val="nil"/>
            </w:tcBorders>
            <w:noWrap/>
            <w:vAlign w:val="center"/>
          </w:tcPr>
          <w:p w14:paraId="29943229">
            <w:pPr>
              <w:ind w:left="0" w:leftChars="0" w:firstLine="0" w:firstLineChars="0"/>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2</w:t>
            </w:r>
          </w:p>
        </w:tc>
        <w:tc>
          <w:tcPr>
            <w:tcW w:w="4350" w:type="dxa"/>
            <w:tcBorders>
              <w:tl2br w:val="nil"/>
              <w:tr2bl w:val="nil"/>
            </w:tcBorders>
            <w:noWrap/>
            <w:vAlign w:val="center"/>
          </w:tcPr>
          <w:p w14:paraId="7234E134">
            <w:pPr>
              <w:ind w:left="0" w:leftChars="0" w:firstLine="0" w:firstLineChars="0"/>
              <w:jc w:val="center"/>
              <w:rPr>
                <w:rFonts w:hint="default"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2025年春风行动</w:t>
            </w:r>
          </w:p>
        </w:tc>
        <w:tc>
          <w:tcPr>
            <w:tcW w:w="3225" w:type="dxa"/>
            <w:tcBorders>
              <w:tl2br w:val="nil"/>
              <w:tr2bl w:val="nil"/>
            </w:tcBorders>
            <w:noWrap w:val="0"/>
            <w:vAlign w:val="center"/>
          </w:tcPr>
          <w:p w14:paraId="33D33B3F">
            <w:pPr>
              <w:ind w:left="0" w:leftChars="0" w:firstLine="0" w:firstLineChars="0"/>
              <w:jc w:val="center"/>
              <w:rPr>
                <w:rFonts w:hint="default"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2000元</w:t>
            </w:r>
          </w:p>
        </w:tc>
      </w:tr>
      <w:tr w14:paraId="53044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42" w:type="dxa"/>
            <w:tcBorders>
              <w:tl2br w:val="nil"/>
              <w:tr2bl w:val="nil"/>
            </w:tcBorders>
            <w:noWrap/>
            <w:vAlign w:val="center"/>
          </w:tcPr>
          <w:p w14:paraId="21BBBCE5">
            <w:pPr>
              <w:ind w:left="0" w:leftChars="0" w:firstLine="0" w:firstLineChars="0"/>
              <w:jc w:val="center"/>
              <w:rPr>
                <w:rFonts w:hint="default"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3</w:t>
            </w:r>
          </w:p>
        </w:tc>
        <w:tc>
          <w:tcPr>
            <w:tcW w:w="4350" w:type="dxa"/>
            <w:tcBorders>
              <w:tl2br w:val="nil"/>
              <w:tr2bl w:val="nil"/>
            </w:tcBorders>
            <w:noWrap/>
            <w:vAlign w:val="center"/>
          </w:tcPr>
          <w:p w14:paraId="000F03F2">
            <w:pPr>
              <w:ind w:left="0" w:leftChars="0" w:firstLine="0" w:firstLineChars="0"/>
              <w:jc w:val="center"/>
              <w:rPr>
                <w:rFonts w:hint="eastAsia"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桐庐县全民健身计划-八人制足球赛</w:t>
            </w:r>
          </w:p>
        </w:tc>
        <w:tc>
          <w:tcPr>
            <w:tcW w:w="3225" w:type="dxa"/>
            <w:tcBorders>
              <w:tl2br w:val="nil"/>
              <w:tr2bl w:val="nil"/>
            </w:tcBorders>
            <w:noWrap w:val="0"/>
            <w:vAlign w:val="center"/>
          </w:tcPr>
          <w:p w14:paraId="57C190FA">
            <w:pPr>
              <w:ind w:left="0" w:leftChars="0" w:firstLine="0" w:firstLineChars="0"/>
              <w:jc w:val="center"/>
              <w:rPr>
                <w:rFonts w:hint="default" w:ascii="黑体" w:hAnsi="黑体" w:eastAsia="黑体" w:cs="黑体"/>
                <w:color w:val="000000" w:themeColor="text1"/>
                <w:sz w:val="24"/>
                <w:szCs w:val="20"/>
                <w:lang w:val="en-US" w:eastAsia="zh-CN"/>
                <w14:textFill>
                  <w14:solidFill>
                    <w14:schemeClr w14:val="tx1"/>
                  </w14:solidFill>
                </w14:textFill>
              </w:rPr>
            </w:pPr>
            <w:r>
              <w:rPr>
                <w:rFonts w:hint="eastAsia" w:ascii="黑体" w:hAnsi="黑体" w:eastAsia="黑体" w:cs="黑体"/>
                <w:color w:val="000000" w:themeColor="text1"/>
                <w:sz w:val="24"/>
                <w:szCs w:val="20"/>
                <w:lang w:val="en-US" w:eastAsia="zh-CN"/>
                <w14:textFill>
                  <w14:solidFill>
                    <w14:schemeClr w14:val="tx1"/>
                  </w14:solidFill>
                </w14:textFill>
              </w:rPr>
              <w:t>5000元</w:t>
            </w:r>
          </w:p>
        </w:tc>
      </w:tr>
    </w:tbl>
    <w:p w14:paraId="77715656">
      <w:pPr>
        <w:ind w:firstLine="560" w:firstLineChars="200"/>
        <w:rPr>
          <w:rFonts w:hint="eastAsia" w:ascii="宋体" w:hAnsi="宋体" w:eastAsia="宋体" w:cs="宋体"/>
          <w:sz w:val="28"/>
          <w:szCs w:val="28"/>
          <w:lang w:eastAsia="zh-CN"/>
        </w:rPr>
      </w:pPr>
    </w:p>
    <w:p w14:paraId="491A29BD">
      <w:pPr>
        <w:ind w:firstLine="560" w:firstLineChars="200"/>
        <w:rPr>
          <w:rFonts w:ascii="宋体" w:hAnsi="宋体" w:eastAsia="宋体" w:cs="宋体"/>
          <w:sz w:val="28"/>
          <w:szCs w:val="28"/>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6</w:t>
      </w:r>
      <w:r>
        <w:rPr>
          <w:rFonts w:hint="eastAsia" w:ascii="宋体" w:hAnsi="宋体" w:eastAsia="宋体" w:cs="宋体"/>
          <w:sz w:val="28"/>
          <w:szCs w:val="28"/>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对待股东、消费者、顾客、供应链上下游及社会各方要诚实守信，构造和谐、共赢机制，树立良好的社会公信形象。力争成为</w:t>
      </w:r>
      <w:r>
        <w:rPr>
          <w:rFonts w:hint="eastAsia" w:ascii="宋体" w:hAnsi="宋体" w:eastAsia="宋体" w:cs="宋体"/>
          <w:sz w:val="28"/>
          <w:szCs w:val="28"/>
          <w:lang w:val="en-US" w:eastAsia="zh-CN"/>
        </w:rPr>
        <w:t>摩擦材料</w:t>
      </w:r>
      <w:r>
        <w:rPr>
          <w:rFonts w:hint="eastAsia" w:ascii="宋体" w:hAnsi="宋体" w:eastAsia="宋体" w:cs="宋体"/>
          <w:sz w:val="28"/>
          <w:szCs w:val="28"/>
        </w:rPr>
        <w:t>行业中最具竞争力的企业，做行业领头羊，赢得社会、经销商、用户、供应商的信任与好感，促进公司自身与全社会的协调与和谐发展。</w:t>
      </w:r>
    </w:p>
    <w:p w14:paraId="0C0C8114">
      <w:pPr>
        <w:spacing w:line="360" w:lineRule="auto"/>
        <w:ind w:firstLine="560" w:firstLineChars="200"/>
        <w:jc w:val="right"/>
        <w:rPr>
          <w:rFonts w:ascii="宋体" w:hAnsi="宋体" w:eastAsia="宋体" w:cs="宋体"/>
          <w:sz w:val="28"/>
          <w:szCs w:val="28"/>
        </w:rPr>
      </w:pPr>
      <w:r>
        <w:rPr>
          <w:rFonts w:hint="eastAsia" w:ascii="宋体" w:hAnsi="宋体" w:eastAsia="宋体" w:cs="宋体"/>
          <w:sz w:val="28"/>
          <w:szCs w:val="28"/>
        </w:rPr>
        <w:br w:type="textWrapping"/>
      </w:r>
      <w:r>
        <w:rPr>
          <w:rFonts w:hint="eastAsia" w:ascii="宋体" w:hAnsi="宋体" w:eastAsia="宋体" w:cs="宋体"/>
          <w:sz w:val="28"/>
          <w:szCs w:val="28"/>
        </w:rPr>
        <w:t>桐庐宇鑫汽配有限公司</w:t>
      </w:r>
    </w:p>
    <w:p w14:paraId="299311EA">
      <w:pPr>
        <w:wordWrap w:val="0"/>
        <w:spacing w:line="360" w:lineRule="auto"/>
        <w:jc w:val="right"/>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 xml:space="preserve">2026.05.20   </w:t>
      </w:r>
    </w:p>
    <w:sectPr>
      <w:footerReference r:id="rId9" w:type="default"/>
      <w:pgSz w:w="11906" w:h="16838"/>
      <w:pgMar w:top="1723" w:right="1474" w:bottom="1361" w:left="1587" w:header="851"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man 10cpi">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A00002EF" w:usb1="4000004B" w:usb2="00000000" w:usb3="00000000" w:csb0="200000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ËÎÌå">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53ED">
    <w:pPr>
      <w:pStyle w:val="2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8DFF85">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yvpdE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K+l0TICAABjBAAADgAAAAAAAAABACAAAAAfAQAAZHJzL2Uyb0RvYy54bWxQSwUG&#10;AAAAAAYABgBZAQAAwwUAAAAA&#10;">
              <v:fill on="f" focussize="0,0"/>
              <v:stroke on="f" weight="0.5pt"/>
              <v:imagedata o:title=""/>
              <o:lock v:ext="edit" aspectratio="f"/>
              <v:textbox inset="0mm,0mm,0mm,0mm" style="mso-fit-shape-to-text:t;">
                <w:txbxContent>
                  <w:p w14:paraId="5D8DFF85">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F119">
    <w:pPr>
      <w:pStyle w:val="2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6B140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14:paraId="6A6B140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912286">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14:paraId="0D912286">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3BCA">
    <w:pPr>
      <w:pStyle w:val="24"/>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F0357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d/eQyAgAAY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r6mRDOFhp++fzv9&#10;+HX6+ZVcRXla62eIerCIC91b02FohnuPy8i6q5yKv+BD4Ie4x4u4oguEx0fTyXSaw8XhGw7Azx6f&#10;W+fDO2EUiUZBHbqXRGWHjQ996BASs2mzbqRMHZSatAW9vnq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x395DICAABjBAAADgAAAAAAAAABACAAAAAfAQAAZHJzL2Uyb0RvYy54bWxQSwUG&#10;AAAAAAYABgBZAQAAwwUAAAAA&#10;">
              <v:fill on="f" focussize="0,0"/>
              <v:stroke on="f" weight="0.5pt"/>
              <v:imagedata o:title=""/>
              <o:lock v:ext="edit" aspectratio="f"/>
              <v:textbox inset="0mm,0mm,0mm,0mm" style="mso-fit-shape-to-text:t;">
                <w:txbxContent>
                  <w:p w14:paraId="0F0357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CDEA">
    <w:pPr>
      <w:pStyle w:val="24"/>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BAC9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Pv/oyAgAAY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reRHla62eIerCIC91b02FohnuPy8i6q5yKv+BD4Ie4x4u4oguEx0fTyXSaw8XhGw7Azx6f&#10;W+fDO2EUiUZBHbqXRGWHjQ996BASs2mzbqRMHZSatAW9fn2V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Q+/+jICAABjBAAADgAAAAAAAAABACAAAAAfAQAAZHJzL2Uyb0RvYy54bWxQSwUG&#10;AAAAAAYABgBZAQAAwwUAAAAA&#10;">
              <v:fill on="f" focussize="0,0"/>
              <v:stroke on="f" weight="0.5pt"/>
              <v:imagedata o:title=""/>
              <o:lock v:ext="edit" aspectratio="f"/>
              <v:textbox inset="0mm,0mm,0mm,0mm" style="mso-fit-shape-to-text:t;">
                <w:txbxContent>
                  <w:p w14:paraId="09BAC90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30754">
    <w:pPr>
      <w:pStyle w:val="2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D0DBD0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14:paraId="7D0DBD01">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BDF06">
    <w:pPr>
      <w:pStyle w:val="2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5E927B">
                          <w:pPr>
                            <w:pStyle w:val="24"/>
                            <w:jc w:val="center"/>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95E927B">
                    <w:pPr>
                      <w:pStyle w:val="24"/>
                      <w:jc w:val="center"/>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412DE">
    <w:pPr>
      <w:pBdr>
        <w:bottom w:val="thinThickSmallGap" w:color="000080" w:sz="24" w:space="1"/>
      </w:pBdr>
      <w:rPr>
        <w:rFonts w:ascii="微软雅黑" w:hAnsi="微软雅黑" w:eastAsia="微软雅黑"/>
        <w:sz w:val="29"/>
        <w:szCs w:val="29"/>
      </w:rPr>
    </w:pPr>
    <w:r>
      <w:rPr>
        <w:rFonts w:hint="eastAsia" w:ascii="微软雅黑" w:hAnsi="微软雅黑" w:eastAsia="微软雅黑"/>
        <w:b/>
        <w:color w:val="376092" w:themeColor="accent1" w:themeShade="BF"/>
        <w:sz w:val="29"/>
        <w:szCs w:val="29"/>
      </w:rPr>
      <w:t xml:space="preserve">桐庐宇鑫汽配有限公司                 </w:t>
    </w:r>
    <w:r>
      <w:rPr>
        <w:rFonts w:hint="eastAsia" w:ascii="微软雅黑" w:hAnsi="微软雅黑" w:eastAsia="微软雅黑"/>
        <w:b/>
        <w:color w:val="376092" w:themeColor="accent1" w:themeShade="BF"/>
        <w:sz w:val="29"/>
        <w:szCs w:val="29"/>
        <w:lang w:eastAsia="zh-CN"/>
      </w:rPr>
      <w:t>2023</w:t>
    </w:r>
    <w:r>
      <w:rPr>
        <w:rFonts w:hint="eastAsia" w:ascii="微软雅黑" w:hAnsi="微软雅黑" w:eastAsia="微软雅黑"/>
        <w:b/>
        <w:color w:val="376092" w:themeColor="accent1" w:themeShade="BF"/>
        <w:sz w:val="29"/>
        <w:szCs w:val="29"/>
      </w:rPr>
      <w:t>年企业社会责任报告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22"/>
      <w:suff w:val="nothing"/>
      <w:lvlText w:val="%1.%2　"/>
      <w:lvlJc w:val="left"/>
      <w:pPr>
        <w:ind w:left="630" w:firstLine="0"/>
      </w:pPr>
      <w:rPr>
        <w:rFonts w:hint="eastAsia" w:ascii="黑体" w:hAnsi="Times New Roman" w:eastAsia="黑体" w:cs="Times New Roman"/>
        <w:b w:val="0"/>
        <w:bCs w:val="0"/>
        <w:i w:val="0"/>
        <w:iCs w:val="0"/>
        <w:caps w:val="0"/>
        <w:strike w:val="0"/>
        <w:dstrike w:val="0"/>
        <w:color w:val="000000"/>
        <w:spacing w:val="0"/>
        <w:kern w:val="0"/>
        <w:position w:val="0"/>
        <w:sz w:val="21"/>
        <w:szCs w:val="21"/>
        <w:u w:val="none"/>
      </w:rPr>
    </w:lvl>
    <w:lvl w:ilvl="2" w:tentative="0">
      <w:start w:val="1"/>
      <w:numFmt w:val="decimal"/>
      <w:pStyle w:val="124"/>
      <w:suff w:val="nothing"/>
      <w:lvlText w:val="%1.%2.%3　"/>
      <w:lvlJc w:val="left"/>
      <w:pPr>
        <w:ind w:left="2411" w:firstLine="0"/>
      </w:pPr>
      <w:rPr>
        <w:rFonts w:hint="eastAsia" w:ascii="黑体" w:hAnsi="Times New Roman" w:eastAsia="黑体"/>
        <w:b w:val="0"/>
        <w:i w:val="0"/>
        <w:sz w:val="21"/>
      </w:rPr>
    </w:lvl>
    <w:lvl w:ilvl="3" w:tentative="0">
      <w:start w:val="1"/>
      <w:numFmt w:val="decimal"/>
      <w:suff w:val="nothing"/>
      <w:lvlText w:val="%1.%2.%3.%4　"/>
      <w:lvlJc w:val="left"/>
      <w:pPr>
        <w:ind w:left="63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wMzQ3MDllYzRjNWQ1YmU3MTM3NjU1ZDc2ZmQifQ=="/>
  </w:docVars>
  <w:rsids>
    <w:rsidRoot w:val="00022ED5"/>
    <w:rsid w:val="00004959"/>
    <w:rsid w:val="00022ED5"/>
    <w:rsid w:val="000413E6"/>
    <w:rsid w:val="00043048"/>
    <w:rsid w:val="00076BF3"/>
    <w:rsid w:val="000B1BFD"/>
    <w:rsid w:val="000B385D"/>
    <w:rsid w:val="000B541E"/>
    <w:rsid w:val="000B6FDA"/>
    <w:rsid w:val="000C29DE"/>
    <w:rsid w:val="000F7CD6"/>
    <w:rsid w:val="00103B69"/>
    <w:rsid w:val="00115C8E"/>
    <w:rsid w:val="00144D50"/>
    <w:rsid w:val="00153E8B"/>
    <w:rsid w:val="00157C64"/>
    <w:rsid w:val="00157F28"/>
    <w:rsid w:val="0016776B"/>
    <w:rsid w:val="001716E2"/>
    <w:rsid w:val="00176478"/>
    <w:rsid w:val="00177225"/>
    <w:rsid w:val="00194B63"/>
    <w:rsid w:val="00197640"/>
    <w:rsid w:val="001A0115"/>
    <w:rsid w:val="001A30C7"/>
    <w:rsid w:val="001A6A4B"/>
    <w:rsid w:val="001B00EA"/>
    <w:rsid w:val="001B2911"/>
    <w:rsid w:val="001B62B3"/>
    <w:rsid w:val="001B7DA0"/>
    <w:rsid w:val="001D2705"/>
    <w:rsid w:val="001D5EEE"/>
    <w:rsid w:val="001E4760"/>
    <w:rsid w:val="0021293F"/>
    <w:rsid w:val="002165EB"/>
    <w:rsid w:val="00217E1D"/>
    <w:rsid w:val="00230431"/>
    <w:rsid w:val="0023583E"/>
    <w:rsid w:val="00236B59"/>
    <w:rsid w:val="00242F8C"/>
    <w:rsid w:val="00252D11"/>
    <w:rsid w:val="0025370E"/>
    <w:rsid w:val="002576FF"/>
    <w:rsid w:val="002642C6"/>
    <w:rsid w:val="002719F1"/>
    <w:rsid w:val="00272F78"/>
    <w:rsid w:val="00273683"/>
    <w:rsid w:val="00273B46"/>
    <w:rsid w:val="002831A3"/>
    <w:rsid w:val="00293180"/>
    <w:rsid w:val="002972AC"/>
    <w:rsid w:val="002C0712"/>
    <w:rsid w:val="002E39CE"/>
    <w:rsid w:val="002E6E19"/>
    <w:rsid w:val="003035C4"/>
    <w:rsid w:val="00305703"/>
    <w:rsid w:val="0031058A"/>
    <w:rsid w:val="00317C9A"/>
    <w:rsid w:val="00347D47"/>
    <w:rsid w:val="003521AD"/>
    <w:rsid w:val="003536C5"/>
    <w:rsid w:val="00355316"/>
    <w:rsid w:val="003564F9"/>
    <w:rsid w:val="003578CE"/>
    <w:rsid w:val="00360CAB"/>
    <w:rsid w:val="00364B86"/>
    <w:rsid w:val="00364ED6"/>
    <w:rsid w:val="00370313"/>
    <w:rsid w:val="0037754A"/>
    <w:rsid w:val="00386AE4"/>
    <w:rsid w:val="00387B40"/>
    <w:rsid w:val="0039589B"/>
    <w:rsid w:val="003B042C"/>
    <w:rsid w:val="003E753A"/>
    <w:rsid w:val="003F7A71"/>
    <w:rsid w:val="00430404"/>
    <w:rsid w:val="0045413E"/>
    <w:rsid w:val="004672EF"/>
    <w:rsid w:val="00473B9C"/>
    <w:rsid w:val="00484907"/>
    <w:rsid w:val="004A310C"/>
    <w:rsid w:val="004A379B"/>
    <w:rsid w:val="004A7305"/>
    <w:rsid w:val="004A7E5B"/>
    <w:rsid w:val="004B04AF"/>
    <w:rsid w:val="004C28B1"/>
    <w:rsid w:val="004D2D7F"/>
    <w:rsid w:val="004D5956"/>
    <w:rsid w:val="004F6F47"/>
    <w:rsid w:val="00511E4E"/>
    <w:rsid w:val="0052299E"/>
    <w:rsid w:val="00526770"/>
    <w:rsid w:val="00527B35"/>
    <w:rsid w:val="005403B2"/>
    <w:rsid w:val="005510E6"/>
    <w:rsid w:val="00561BA7"/>
    <w:rsid w:val="00581652"/>
    <w:rsid w:val="00581FE5"/>
    <w:rsid w:val="0059796A"/>
    <w:rsid w:val="005A0A7B"/>
    <w:rsid w:val="005A1C7E"/>
    <w:rsid w:val="005B3445"/>
    <w:rsid w:val="005C5867"/>
    <w:rsid w:val="005D4472"/>
    <w:rsid w:val="005E5EFA"/>
    <w:rsid w:val="005F261A"/>
    <w:rsid w:val="00604F39"/>
    <w:rsid w:val="0060671C"/>
    <w:rsid w:val="0063234F"/>
    <w:rsid w:val="00635B94"/>
    <w:rsid w:val="00635F68"/>
    <w:rsid w:val="006446B7"/>
    <w:rsid w:val="00652101"/>
    <w:rsid w:val="00654582"/>
    <w:rsid w:val="00660532"/>
    <w:rsid w:val="0066364E"/>
    <w:rsid w:val="00670BAB"/>
    <w:rsid w:val="00672C78"/>
    <w:rsid w:val="006927F5"/>
    <w:rsid w:val="0069538E"/>
    <w:rsid w:val="006A182D"/>
    <w:rsid w:val="006B1BFE"/>
    <w:rsid w:val="006C5E13"/>
    <w:rsid w:val="006F2BEF"/>
    <w:rsid w:val="006F725D"/>
    <w:rsid w:val="00701482"/>
    <w:rsid w:val="007046CB"/>
    <w:rsid w:val="00706A1D"/>
    <w:rsid w:val="0071382A"/>
    <w:rsid w:val="00733E3E"/>
    <w:rsid w:val="00734870"/>
    <w:rsid w:val="0074121A"/>
    <w:rsid w:val="00753FB3"/>
    <w:rsid w:val="00755FF5"/>
    <w:rsid w:val="00760839"/>
    <w:rsid w:val="0076502C"/>
    <w:rsid w:val="00771096"/>
    <w:rsid w:val="00773A35"/>
    <w:rsid w:val="007814E2"/>
    <w:rsid w:val="00783D76"/>
    <w:rsid w:val="00785799"/>
    <w:rsid w:val="007A4B8F"/>
    <w:rsid w:val="007B06E9"/>
    <w:rsid w:val="007B374D"/>
    <w:rsid w:val="007C5046"/>
    <w:rsid w:val="007C5FF3"/>
    <w:rsid w:val="007E2053"/>
    <w:rsid w:val="00806BE0"/>
    <w:rsid w:val="00821F12"/>
    <w:rsid w:val="0083657E"/>
    <w:rsid w:val="008474DB"/>
    <w:rsid w:val="00851E05"/>
    <w:rsid w:val="00863E16"/>
    <w:rsid w:val="008903A1"/>
    <w:rsid w:val="00893EEA"/>
    <w:rsid w:val="008A0D2B"/>
    <w:rsid w:val="008A612F"/>
    <w:rsid w:val="008B2C5A"/>
    <w:rsid w:val="008D4687"/>
    <w:rsid w:val="008D7D83"/>
    <w:rsid w:val="008E06B9"/>
    <w:rsid w:val="008E4013"/>
    <w:rsid w:val="00902201"/>
    <w:rsid w:val="00905330"/>
    <w:rsid w:val="00932FB1"/>
    <w:rsid w:val="00937A8E"/>
    <w:rsid w:val="00944493"/>
    <w:rsid w:val="00953B07"/>
    <w:rsid w:val="00963D64"/>
    <w:rsid w:val="00966AFC"/>
    <w:rsid w:val="00973BE6"/>
    <w:rsid w:val="0097606B"/>
    <w:rsid w:val="00994EDC"/>
    <w:rsid w:val="009A1A7E"/>
    <w:rsid w:val="009A5899"/>
    <w:rsid w:val="009A5A23"/>
    <w:rsid w:val="009B07C5"/>
    <w:rsid w:val="009D6979"/>
    <w:rsid w:val="00A010B3"/>
    <w:rsid w:val="00A24D8A"/>
    <w:rsid w:val="00A2657F"/>
    <w:rsid w:val="00A322BD"/>
    <w:rsid w:val="00A45149"/>
    <w:rsid w:val="00A477F0"/>
    <w:rsid w:val="00A641E9"/>
    <w:rsid w:val="00A75686"/>
    <w:rsid w:val="00A75E84"/>
    <w:rsid w:val="00A9317C"/>
    <w:rsid w:val="00A949DA"/>
    <w:rsid w:val="00A964B4"/>
    <w:rsid w:val="00AA781B"/>
    <w:rsid w:val="00AB0413"/>
    <w:rsid w:val="00AC3E17"/>
    <w:rsid w:val="00AD561C"/>
    <w:rsid w:val="00AD7250"/>
    <w:rsid w:val="00AE13F1"/>
    <w:rsid w:val="00AE2C6A"/>
    <w:rsid w:val="00AE44E0"/>
    <w:rsid w:val="00AE4509"/>
    <w:rsid w:val="00AF0F12"/>
    <w:rsid w:val="00B066A4"/>
    <w:rsid w:val="00B16280"/>
    <w:rsid w:val="00B23159"/>
    <w:rsid w:val="00B276DA"/>
    <w:rsid w:val="00B27E82"/>
    <w:rsid w:val="00B33B4F"/>
    <w:rsid w:val="00B46425"/>
    <w:rsid w:val="00B57E7D"/>
    <w:rsid w:val="00B80189"/>
    <w:rsid w:val="00BD77B8"/>
    <w:rsid w:val="00BE23C2"/>
    <w:rsid w:val="00BE4718"/>
    <w:rsid w:val="00BF6BA1"/>
    <w:rsid w:val="00C161DA"/>
    <w:rsid w:val="00C1704F"/>
    <w:rsid w:val="00C207DF"/>
    <w:rsid w:val="00C35DB8"/>
    <w:rsid w:val="00C501EF"/>
    <w:rsid w:val="00C507F6"/>
    <w:rsid w:val="00C52731"/>
    <w:rsid w:val="00C5698D"/>
    <w:rsid w:val="00C870CD"/>
    <w:rsid w:val="00C87F2C"/>
    <w:rsid w:val="00C90CE2"/>
    <w:rsid w:val="00CA403A"/>
    <w:rsid w:val="00CB72E6"/>
    <w:rsid w:val="00CC2B11"/>
    <w:rsid w:val="00CE070C"/>
    <w:rsid w:val="00CF7333"/>
    <w:rsid w:val="00D0097B"/>
    <w:rsid w:val="00D00C6A"/>
    <w:rsid w:val="00D049A8"/>
    <w:rsid w:val="00D112D4"/>
    <w:rsid w:val="00D11A47"/>
    <w:rsid w:val="00D12E00"/>
    <w:rsid w:val="00D15FD4"/>
    <w:rsid w:val="00D22BD2"/>
    <w:rsid w:val="00D41237"/>
    <w:rsid w:val="00D433E8"/>
    <w:rsid w:val="00D558ED"/>
    <w:rsid w:val="00D60078"/>
    <w:rsid w:val="00D63F70"/>
    <w:rsid w:val="00D652DF"/>
    <w:rsid w:val="00D66F3F"/>
    <w:rsid w:val="00D76849"/>
    <w:rsid w:val="00D838B1"/>
    <w:rsid w:val="00DA31D8"/>
    <w:rsid w:val="00DA387D"/>
    <w:rsid w:val="00DB5292"/>
    <w:rsid w:val="00DD6075"/>
    <w:rsid w:val="00DE2DC5"/>
    <w:rsid w:val="00DE4BFF"/>
    <w:rsid w:val="00DF07BD"/>
    <w:rsid w:val="00DF2D9A"/>
    <w:rsid w:val="00E01165"/>
    <w:rsid w:val="00E032A6"/>
    <w:rsid w:val="00E0508F"/>
    <w:rsid w:val="00E05247"/>
    <w:rsid w:val="00E20C6D"/>
    <w:rsid w:val="00E22091"/>
    <w:rsid w:val="00E33551"/>
    <w:rsid w:val="00E37B73"/>
    <w:rsid w:val="00E43753"/>
    <w:rsid w:val="00E52856"/>
    <w:rsid w:val="00E63687"/>
    <w:rsid w:val="00E7198A"/>
    <w:rsid w:val="00E762C3"/>
    <w:rsid w:val="00E8436F"/>
    <w:rsid w:val="00E97CAE"/>
    <w:rsid w:val="00EB2FBB"/>
    <w:rsid w:val="00EB43AD"/>
    <w:rsid w:val="00EB478A"/>
    <w:rsid w:val="00EC206D"/>
    <w:rsid w:val="00EC646F"/>
    <w:rsid w:val="00EE13BC"/>
    <w:rsid w:val="00EE257D"/>
    <w:rsid w:val="00EF0E62"/>
    <w:rsid w:val="00F01E79"/>
    <w:rsid w:val="00F03937"/>
    <w:rsid w:val="00F04744"/>
    <w:rsid w:val="00F2468D"/>
    <w:rsid w:val="00F30CA0"/>
    <w:rsid w:val="00F37D9F"/>
    <w:rsid w:val="00F54423"/>
    <w:rsid w:val="00F56BED"/>
    <w:rsid w:val="00F700FA"/>
    <w:rsid w:val="00F92A3A"/>
    <w:rsid w:val="00F94D50"/>
    <w:rsid w:val="00FB1C48"/>
    <w:rsid w:val="00FB2702"/>
    <w:rsid w:val="00FC300E"/>
    <w:rsid w:val="00FC42EB"/>
    <w:rsid w:val="00FC602B"/>
    <w:rsid w:val="00FD4F9E"/>
    <w:rsid w:val="00FE05E7"/>
    <w:rsid w:val="00FE1A83"/>
    <w:rsid w:val="00FE6D4E"/>
    <w:rsid w:val="00FE7D80"/>
    <w:rsid w:val="022A7E47"/>
    <w:rsid w:val="02AC0FC1"/>
    <w:rsid w:val="04DE7F15"/>
    <w:rsid w:val="06AC2D42"/>
    <w:rsid w:val="08337D65"/>
    <w:rsid w:val="08D16E75"/>
    <w:rsid w:val="09CF0901"/>
    <w:rsid w:val="0B5A6EF8"/>
    <w:rsid w:val="0BA23C5C"/>
    <w:rsid w:val="10D92671"/>
    <w:rsid w:val="11AD17D7"/>
    <w:rsid w:val="142267C4"/>
    <w:rsid w:val="168C4F34"/>
    <w:rsid w:val="17A77694"/>
    <w:rsid w:val="17E45AD5"/>
    <w:rsid w:val="1A17388C"/>
    <w:rsid w:val="1CB24A31"/>
    <w:rsid w:val="1E5B0639"/>
    <w:rsid w:val="22377CD8"/>
    <w:rsid w:val="229C210A"/>
    <w:rsid w:val="23DC761F"/>
    <w:rsid w:val="23F10D8A"/>
    <w:rsid w:val="240550E9"/>
    <w:rsid w:val="24AB7175"/>
    <w:rsid w:val="282227FB"/>
    <w:rsid w:val="29307F21"/>
    <w:rsid w:val="2A356C68"/>
    <w:rsid w:val="2F5E251F"/>
    <w:rsid w:val="2F7264C4"/>
    <w:rsid w:val="30770050"/>
    <w:rsid w:val="30AC7B24"/>
    <w:rsid w:val="3327634B"/>
    <w:rsid w:val="33355E76"/>
    <w:rsid w:val="36781162"/>
    <w:rsid w:val="37803F97"/>
    <w:rsid w:val="379D3EDE"/>
    <w:rsid w:val="39072B91"/>
    <w:rsid w:val="3AE05788"/>
    <w:rsid w:val="3CFE0CFF"/>
    <w:rsid w:val="3D920437"/>
    <w:rsid w:val="415E4304"/>
    <w:rsid w:val="49482011"/>
    <w:rsid w:val="4F041CDA"/>
    <w:rsid w:val="515B456E"/>
    <w:rsid w:val="5D766067"/>
    <w:rsid w:val="600C2330"/>
    <w:rsid w:val="64C55D3C"/>
    <w:rsid w:val="65685790"/>
    <w:rsid w:val="6AD86833"/>
    <w:rsid w:val="6B556396"/>
    <w:rsid w:val="6C5B28BD"/>
    <w:rsid w:val="6FDD1B68"/>
    <w:rsid w:val="73CC168E"/>
    <w:rsid w:val="75A46866"/>
    <w:rsid w:val="777E7446"/>
    <w:rsid w:val="77BF4051"/>
    <w:rsid w:val="78182C59"/>
    <w:rsid w:val="7C887986"/>
    <w:rsid w:val="7D670C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6"/>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4">
    <w:name w:val="heading 2"/>
    <w:basedOn w:val="1"/>
    <w:next w:val="1"/>
    <w:link w:val="47"/>
    <w:qFormat/>
    <w:uiPriority w:val="0"/>
    <w:pPr>
      <w:keepNext/>
      <w:keepLines/>
      <w:spacing w:before="260" w:after="260" w:line="415" w:lineRule="auto"/>
      <w:outlineLvl w:val="1"/>
    </w:pPr>
    <w:rPr>
      <w:rFonts w:ascii="Arial" w:hAnsi="Arial" w:eastAsia="黑体" w:cs="Times New Roman"/>
      <w:b/>
      <w:bCs/>
      <w:kern w:val="0"/>
      <w:sz w:val="32"/>
      <w:szCs w:val="32"/>
    </w:rPr>
  </w:style>
  <w:style w:type="paragraph" w:styleId="5">
    <w:name w:val="heading 3"/>
    <w:basedOn w:val="1"/>
    <w:next w:val="1"/>
    <w:link w:val="48"/>
    <w:qFormat/>
    <w:uiPriority w:val="0"/>
    <w:pPr>
      <w:spacing w:beforeLines="50" w:line="480" w:lineRule="exact"/>
      <w:ind w:firstLine="480" w:firstLineChars="200"/>
      <w:outlineLvl w:val="2"/>
    </w:pPr>
    <w:rPr>
      <w:rFonts w:ascii="Times New Roman" w:hAnsi="Times New Roman" w:eastAsia="宋体" w:cs="Times New Roman"/>
      <w:kern w:val="0"/>
      <w:sz w:val="20"/>
      <w:szCs w:val="24"/>
    </w:rPr>
  </w:style>
  <w:style w:type="paragraph" w:styleId="6">
    <w:name w:val="heading 4"/>
    <w:basedOn w:val="1"/>
    <w:next w:val="1"/>
    <w:link w:val="49"/>
    <w:qFormat/>
    <w:uiPriority w:val="0"/>
    <w:pPr>
      <w:keepNext/>
      <w:keepLines/>
      <w:spacing w:before="280" w:after="290" w:line="374" w:lineRule="auto"/>
      <w:outlineLvl w:val="3"/>
    </w:pPr>
    <w:rPr>
      <w:rFonts w:ascii="Arial" w:hAnsi="Arial" w:eastAsia="黑体" w:cs="Times New Roman"/>
      <w:b/>
      <w:bCs/>
      <w:kern w:val="0"/>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60"/>
    <w:qFormat/>
    <w:uiPriority w:val="0"/>
    <w:pPr>
      <w:ind w:firstLine="420" w:firstLineChars="200"/>
    </w:pPr>
    <w:rPr>
      <w:rFonts w:ascii="宋体" w:hAnsi="Roman 10cpi" w:eastAsia="宋体" w:cs="Times New Roman"/>
      <w:szCs w:val="20"/>
    </w:rPr>
  </w:style>
  <w:style w:type="paragraph" w:styleId="7">
    <w:name w:val="toc 7"/>
    <w:basedOn w:val="1"/>
    <w:next w:val="1"/>
    <w:unhideWhenUsed/>
    <w:qFormat/>
    <w:uiPriority w:val="39"/>
    <w:pPr>
      <w:ind w:left="1260"/>
      <w:jc w:val="left"/>
    </w:pPr>
    <w:rPr>
      <w:rFonts w:ascii="Calibri" w:hAnsi="Calibri" w:eastAsia="宋体" w:cs="Calibri"/>
      <w:sz w:val="18"/>
      <w:szCs w:val="18"/>
    </w:rPr>
  </w:style>
  <w:style w:type="paragraph" w:styleId="8">
    <w:name w:val="Note Heading"/>
    <w:basedOn w:val="1"/>
    <w:next w:val="1"/>
    <w:link w:val="62"/>
    <w:qFormat/>
    <w:uiPriority w:val="0"/>
    <w:pPr>
      <w:jc w:val="center"/>
    </w:pPr>
    <w:rPr>
      <w:rFonts w:ascii="Times New Roman" w:hAnsi="Times New Roman" w:eastAsia="宋体" w:cs="Times New Roman"/>
      <w:szCs w:val="24"/>
    </w:rPr>
  </w:style>
  <w:style w:type="paragraph" w:styleId="9">
    <w:name w:val="Normal Indent"/>
    <w:basedOn w:val="1"/>
    <w:qFormat/>
    <w:uiPriority w:val="0"/>
    <w:pPr>
      <w:ind w:firstLine="420" w:firstLineChars="200"/>
    </w:pPr>
    <w:rPr>
      <w:rFonts w:ascii="Times New Roman" w:hAnsi="Times New Roman" w:eastAsia="宋体" w:cs="Times New Roman"/>
      <w:szCs w:val="20"/>
    </w:rPr>
  </w:style>
  <w:style w:type="paragraph" w:styleId="10">
    <w:name w:val="caption"/>
    <w:basedOn w:val="1"/>
    <w:next w:val="1"/>
    <w:unhideWhenUsed/>
    <w:qFormat/>
    <w:uiPriority w:val="35"/>
    <w:rPr>
      <w:rFonts w:ascii="Arial" w:hAnsi="Arial" w:eastAsia="黑体" w:cs="Arial"/>
      <w:sz w:val="20"/>
      <w:szCs w:val="20"/>
    </w:rPr>
  </w:style>
  <w:style w:type="paragraph" w:styleId="11">
    <w:name w:val="Document Map"/>
    <w:basedOn w:val="1"/>
    <w:link w:val="64"/>
    <w:qFormat/>
    <w:uiPriority w:val="0"/>
    <w:rPr>
      <w:rFonts w:ascii="宋体"/>
      <w:sz w:val="18"/>
      <w:szCs w:val="18"/>
    </w:rPr>
  </w:style>
  <w:style w:type="paragraph" w:styleId="12">
    <w:name w:val="annotation text"/>
    <w:basedOn w:val="1"/>
    <w:link w:val="69"/>
    <w:qFormat/>
    <w:uiPriority w:val="0"/>
    <w:pPr>
      <w:jc w:val="left"/>
    </w:pPr>
    <w:rPr>
      <w:rFonts w:ascii="Times New Roman" w:hAnsi="Times New Roman" w:eastAsia="宋体" w:cs="Times New Roman"/>
      <w:szCs w:val="24"/>
    </w:rPr>
  </w:style>
  <w:style w:type="paragraph" w:styleId="13">
    <w:name w:val="Salutation"/>
    <w:basedOn w:val="1"/>
    <w:next w:val="1"/>
    <w:link w:val="51"/>
    <w:qFormat/>
    <w:uiPriority w:val="0"/>
    <w:rPr>
      <w:rFonts w:ascii="Times New Roman" w:hAnsi="Times New Roman" w:eastAsia="宋体" w:cs="Times New Roman"/>
      <w:szCs w:val="24"/>
    </w:rPr>
  </w:style>
  <w:style w:type="paragraph" w:styleId="14">
    <w:name w:val="Body Text 3"/>
    <w:basedOn w:val="1"/>
    <w:link w:val="59"/>
    <w:qFormat/>
    <w:uiPriority w:val="0"/>
    <w:pPr>
      <w:spacing w:after="120"/>
    </w:pPr>
    <w:rPr>
      <w:rFonts w:ascii="Times New Roman" w:hAnsi="Times New Roman" w:eastAsia="宋体" w:cs="Times New Roman"/>
      <w:sz w:val="16"/>
      <w:szCs w:val="16"/>
    </w:rPr>
  </w:style>
  <w:style w:type="paragraph" w:styleId="15">
    <w:name w:val="Body Text"/>
    <w:basedOn w:val="1"/>
    <w:link w:val="78"/>
    <w:unhideWhenUsed/>
    <w:qFormat/>
    <w:uiPriority w:val="0"/>
    <w:pPr>
      <w:spacing w:after="120"/>
    </w:pPr>
  </w:style>
  <w:style w:type="paragraph" w:styleId="16">
    <w:name w:val="Body Text Indent"/>
    <w:basedOn w:val="1"/>
    <w:link w:val="76"/>
    <w:qFormat/>
    <w:uiPriority w:val="0"/>
    <w:pPr>
      <w:spacing w:line="480" w:lineRule="exact"/>
      <w:ind w:firstLine="435"/>
    </w:pPr>
    <w:rPr>
      <w:rFonts w:ascii="Times New Roman" w:hAnsi="Times New Roman" w:eastAsia="宋体" w:cs="Times New Roman"/>
      <w:szCs w:val="24"/>
    </w:rPr>
  </w:style>
  <w:style w:type="paragraph" w:styleId="17">
    <w:name w:val="Block Text"/>
    <w:basedOn w:val="1"/>
    <w:qFormat/>
    <w:uiPriority w:val="0"/>
    <w:pPr>
      <w:ind w:left="178" w:leftChars="85" w:right="-334" w:rightChars="-159" w:firstLine="480" w:firstLineChars="200"/>
    </w:pPr>
    <w:rPr>
      <w:rFonts w:ascii="宋体" w:hAnsi="宋体" w:eastAsia="宋体" w:cs="Times New Roman"/>
      <w:sz w:val="24"/>
      <w:szCs w:val="24"/>
    </w:rPr>
  </w:style>
  <w:style w:type="paragraph" w:styleId="18">
    <w:name w:val="toc 5"/>
    <w:basedOn w:val="1"/>
    <w:next w:val="1"/>
    <w:unhideWhenUsed/>
    <w:qFormat/>
    <w:uiPriority w:val="39"/>
    <w:pPr>
      <w:ind w:left="840"/>
      <w:jc w:val="left"/>
    </w:pPr>
    <w:rPr>
      <w:rFonts w:ascii="Calibri" w:hAnsi="Calibri" w:eastAsia="宋体" w:cs="Calibri"/>
      <w:sz w:val="18"/>
      <w:szCs w:val="18"/>
    </w:rPr>
  </w:style>
  <w:style w:type="paragraph" w:styleId="19">
    <w:name w:val="toc 3"/>
    <w:basedOn w:val="1"/>
    <w:next w:val="1"/>
    <w:qFormat/>
    <w:uiPriority w:val="39"/>
    <w:pPr>
      <w:ind w:left="420"/>
      <w:jc w:val="left"/>
    </w:pPr>
    <w:rPr>
      <w:rFonts w:ascii="Calibri" w:hAnsi="Calibri" w:eastAsia="宋体" w:cs="Calibri"/>
      <w:i/>
      <w:iCs/>
      <w:sz w:val="20"/>
      <w:szCs w:val="20"/>
    </w:rPr>
  </w:style>
  <w:style w:type="paragraph" w:styleId="20">
    <w:name w:val="toc 8"/>
    <w:basedOn w:val="1"/>
    <w:next w:val="1"/>
    <w:unhideWhenUsed/>
    <w:qFormat/>
    <w:uiPriority w:val="39"/>
    <w:pPr>
      <w:ind w:left="1470"/>
      <w:jc w:val="left"/>
    </w:pPr>
    <w:rPr>
      <w:rFonts w:ascii="Calibri" w:hAnsi="Calibri" w:eastAsia="宋体" w:cs="Calibri"/>
      <w:sz w:val="18"/>
      <w:szCs w:val="18"/>
    </w:rPr>
  </w:style>
  <w:style w:type="paragraph" w:styleId="21">
    <w:name w:val="Date"/>
    <w:basedOn w:val="1"/>
    <w:next w:val="1"/>
    <w:link w:val="72"/>
    <w:autoRedefine/>
    <w:qFormat/>
    <w:uiPriority w:val="0"/>
    <w:rPr>
      <w:sz w:val="24"/>
      <w:szCs w:val="24"/>
    </w:rPr>
  </w:style>
  <w:style w:type="paragraph" w:styleId="22">
    <w:name w:val="Body Text Indent 2"/>
    <w:basedOn w:val="1"/>
    <w:link w:val="52"/>
    <w:qFormat/>
    <w:uiPriority w:val="0"/>
    <w:pPr>
      <w:widowControl/>
      <w:spacing w:line="320" w:lineRule="exact"/>
      <w:ind w:firstLine="480" w:firstLineChars="200"/>
      <w:jc w:val="left"/>
    </w:pPr>
    <w:rPr>
      <w:rFonts w:ascii="宋体" w:hAnsi="宋体" w:eastAsia="宋体" w:cs="Times New Roman"/>
      <w:kern w:val="0"/>
      <w:sz w:val="24"/>
      <w:szCs w:val="24"/>
      <w:lang w:bidi="he-IL"/>
    </w:rPr>
  </w:style>
  <w:style w:type="paragraph" w:styleId="23">
    <w:name w:val="Balloon Text"/>
    <w:basedOn w:val="1"/>
    <w:link w:val="73"/>
    <w:qFormat/>
    <w:uiPriority w:val="0"/>
    <w:rPr>
      <w:rFonts w:ascii="Times New Roman" w:hAnsi="Times New Roman" w:eastAsia="宋体" w:cs="Times New Roman"/>
      <w:sz w:val="18"/>
      <w:szCs w:val="18"/>
    </w:rPr>
  </w:style>
  <w:style w:type="paragraph" w:styleId="24">
    <w:name w:val="footer"/>
    <w:basedOn w:val="1"/>
    <w:link w:val="45"/>
    <w:unhideWhenUsed/>
    <w:qFormat/>
    <w:uiPriority w:val="0"/>
    <w:pPr>
      <w:tabs>
        <w:tab w:val="center" w:pos="4153"/>
        <w:tab w:val="right" w:pos="8306"/>
      </w:tabs>
      <w:snapToGrid w:val="0"/>
      <w:jc w:val="left"/>
    </w:pPr>
    <w:rPr>
      <w:sz w:val="18"/>
      <w:szCs w:val="18"/>
    </w:rPr>
  </w:style>
  <w:style w:type="paragraph" w:styleId="25">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spacing w:before="120" w:after="120"/>
      <w:jc w:val="left"/>
    </w:pPr>
    <w:rPr>
      <w:rFonts w:ascii="Calibri" w:hAnsi="Calibri" w:eastAsia="宋体" w:cs="Calibri"/>
      <w:b/>
      <w:bCs/>
      <w:caps/>
      <w:sz w:val="20"/>
      <w:szCs w:val="20"/>
    </w:rPr>
  </w:style>
  <w:style w:type="paragraph" w:styleId="27">
    <w:name w:val="toc 4"/>
    <w:basedOn w:val="1"/>
    <w:next w:val="1"/>
    <w:autoRedefine/>
    <w:unhideWhenUsed/>
    <w:qFormat/>
    <w:uiPriority w:val="39"/>
    <w:pPr>
      <w:ind w:left="630"/>
      <w:jc w:val="left"/>
    </w:pPr>
    <w:rPr>
      <w:rFonts w:ascii="Calibri" w:hAnsi="Calibri" w:eastAsia="宋体" w:cs="Calibri"/>
      <w:sz w:val="18"/>
      <w:szCs w:val="18"/>
    </w:rPr>
  </w:style>
  <w:style w:type="paragraph" w:styleId="28">
    <w:name w:val="toc 6"/>
    <w:basedOn w:val="1"/>
    <w:next w:val="1"/>
    <w:unhideWhenUsed/>
    <w:qFormat/>
    <w:uiPriority w:val="39"/>
    <w:pPr>
      <w:ind w:left="1050"/>
      <w:jc w:val="left"/>
    </w:pPr>
    <w:rPr>
      <w:rFonts w:ascii="Calibri" w:hAnsi="Calibri" w:eastAsia="宋体" w:cs="Calibri"/>
      <w:sz w:val="18"/>
      <w:szCs w:val="18"/>
    </w:rPr>
  </w:style>
  <w:style w:type="paragraph" w:styleId="29">
    <w:name w:val="Body Text Indent 3"/>
    <w:basedOn w:val="1"/>
    <w:link w:val="61"/>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autoRedefine/>
    <w:qFormat/>
    <w:uiPriority w:val="39"/>
    <w:pPr>
      <w:ind w:left="210"/>
      <w:jc w:val="left"/>
    </w:pPr>
    <w:rPr>
      <w:rFonts w:ascii="Calibri" w:hAnsi="Calibri" w:eastAsia="宋体" w:cs="Calibri"/>
      <w:smallCaps/>
      <w:sz w:val="20"/>
      <w:szCs w:val="20"/>
    </w:rPr>
  </w:style>
  <w:style w:type="paragraph" w:styleId="31">
    <w:name w:val="toc 9"/>
    <w:basedOn w:val="1"/>
    <w:next w:val="1"/>
    <w:unhideWhenUsed/>
    <w:qFormat/>
    <w:uiPriority w:val="39"/>
    <w:pPr>
      <w:ind w:left="1680"/>
      <w:jc w:val="left"/>
    </w:pPr>
    <w:rPr>
      <w:rFonts w:ascii="Calibri" w:hAnsi="Calibri" w:eastAsia="宋体" w:cs="Calibri"/>
      <w:sz w:val="18"/>
      <w:szCs w:val="18"/>
    </w:rPr>
  </w:style>
  <w:style w:type="paragraph" w:styleId="32">
    <w:name w:val="Body Text 2"/>
    <w:basedOn w:val="1"/>
    <w:link w:val="66"/>
    <w:qFormat/>
    <w:uiPriority w:val="0"/>
    <w:pPr>
      <w:jc w:val="left"/>
    </w:pPr>
    <w:rPr>
      <w:szCs w:val="24"/>
    </w:rPr>
  </w:style>
  <w:style w:type="paragraph" w:styleId="33">
    <w:name w:val="Normal (Web)"/>
    <w:basedOn w:val="1"/>
    <w:link w:val="74"/>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34">
    <w:name w:val="annotation subject"/>
    <w:basedOn w:val="12"/>
    <w:next w:val="12"/>
    <w:link w:val="58"/>
    <w:qFormat/>
    <w:uiPriority w:val="0"/>
    <w:rPr>
      <w:b/>
      <w:bCs/>
    </w:rPr>
  </w:style>
  <w:style w:type="paragraph" w:styleId="35">
    <w:name w:val="Body Text First Indent"/>
    <w:basedOn w:val="15"/>
    <w:link w:val="57"/>
    <w:qFormat/>
    <w:uiPriority w:val="0"/>
    <w:pPr>
      <w:ind w:firstLine="420" w:firstLineChars="100"/>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color w:val="15A4C8"/>
    </w:rPr>
  </w:style>
  <w:style w:type="character" w:styleId="40">
    <w:name w:val="page number"/>
    <w:basedOn w:val="38"/>
    <w:qFormat/>
    <w:uiPriority w:val="0"/>
  </w:style>
  <w:style w:type="character" w:styleId="41">
    <w:name w:val="Emphasis"/>
    <w:basedOn w:val="38"/>
    <w:qFormat/>
    <w:uiPriority w:val="20"/>
    <w:rPr>
      <w:b/>
      <w:iCs/>
      <w:szCs w:val="24"/>
    </w:rPr>
  </w:style>
  <w:style w:type="character" w:styleId="42">
    <w:name w:val="Hyperlink"/>
    <w:autoRedefine/>
    <w:qFormat/>
    <w:uiPriority w:val="99"/>
    <w:rPr>
      <w:color w:val="0000FF"/>
      <w:u w:val="single"/>
    </w:rPr>
  </w:style>
  <w:style w:type="character" w:styleId="43">
    <w:name w:val="annotation reference"/>
    <w:qFormat/>
    <w:uiPriority w:val="0"/>
    <w:rPr>
      <w:sz w:val="21"/>
      <w:szCs w:val="21"/>
    </w:rPr>
  </w:style>
  <w:style w:type="character" w:customStyle="1" w:styleId="44">
    <w:name w:val="页眉 Char"/>
    <w:basedOn w:val="38"/>
    <w:link w:val="25"/>
    <w:qFormat/>
    <w:uiPriority w:val="0"/>
    <w:rPr>
      <w:sz w:val="18"/>
      <w:szCs w:val="18"/>
    </w:rPr>
  </w:style>
  <w:style w:type="character" w:customStyle="1" w:styleId="45">
    <w:name w:val="页脚 Char"/>
    <w:basedOn w:val="38"/>
    <w:link w:val="24"/>
    <w:autoRedefine/>
    <w:qFormat/>
    <w:uiPriority w:val="0"/>
    <w:rPr>
      <w:sz w:val="18"/>
      <w:szCs w:val="18"/>
    </w:rPr>
  </w:style>
  <w:style w:type="character" w:customStyle="1" w:styleId="46">
    <w:name w:val="标题 1 Char"/>
    <w:basedOn w:val="38"/>
    <w:link w:val="3"/>
    <w:qFormat/>
    <w:uiPriority w:val="0"/>
    <w:rPr>
      <w:rFonts w:ascii="Times New Roman" w:hAnsi="Times New Roman" w:eastAsia="宋体" w:cs="Times New Roman"/>
      <w:b/>
      <w:bCs/>
      <w:kern w:val="44"/>
      <w:sz w:val="44"/>
      <w:szCs w:val="44"/>
    </w:rPr>
  </w:style>
  <w:style w:type="character" w:customStyle="1" w:styleId="47">
    <w:name w:val="标题 2 Char"/>
    <w:basedOn w:val="38"/>
    <w:link w:val="4"/>
    <w:qFormat/>
    <w:uiPriority w:val="0"/>
    <w:rPr>
      <w:rFonts w:ascii="Arial" w:hAnsi="Arial" w:eastAsia="黑体" w:cs="Times New Roman"/>
      <w:b/>
      <w:bCs/>
      <w:kern w:val="0"/>
      <w:sz w:val="32"/>
      <w:szCs w:val="32"/>
    </w:rPr>
  </w:style>
  <w:style w:type="character" w:customStyle="1" w:styleId="48">
    <w:name w:val="标题 3 Char"/>
    <w:basedOn w:val="38"/>
    <w:link w:val="5"/>
    <w:qFormat/>
    <w:uiPriority w:val="0"/>
    <w:rPr>
      <w:rFonts w:ascii="Times New Roman" w:hAnsi="Times New Roman" w:eastAsia="宋体" w:cs="Times New Roman"/>
      <w:kern w:val="0"/>
      <w:sz w:val="20"/>
      <w:szCs w:val="24"/>
    </w:rPr>
  </w:style>
  <w:style w:type="character" w:customStyle="1" w:styleId="49">
    <w:name w:val="标题 4 Char"/>
    <w:basedOn w:val="38"/>
    <w:link w:val="6"/>
    <w:qFormat/>
    <w:uiPriority w:val="0"/>
    <w:rPr>
      <w:rFonts w:ascii="Arial" w:hAnsi="Arial" w:eastAsia="黑体" w:cs="Times New Roman"/>
      <w:b/>
      <w:bCs/>
      <w:kern w:val="0"/>
      <w:sz w:val="28"/>
      <w:szCs w:val="28"/>
    </w:rPr>
  </w:style>
  <w:style w:type="character" w:customStyle="1" w:styleId="50">
    <w:name w:val="apple-style-span"/>
    <w:basedOn w:val="38"/>
    <w:qFormat/>
    <w:uiPriority w:val="0"/>
  </w:style>
  <w:style w:type="character" w:customStyle="1" w:styleId="51">
    <w:name w:val="称呼 Char"/>
    <w:link w:val="13"/>
    <w:qFormat/>
    <w:uiPriority w:val="0"/>
    <w:rPr>
      <w:rFonts w:ascii="Times New Roman" w:hAnsi="Times New Roman" w:eastAsia="宋体" w:cs="Times New Roman"/>
      <w:szCs w:val="24"/>
    </w:rPr>
  </w:style>
  <w:style w:type="character" w:customStyle="1" w:styleId="52">
    <w:name w:val="正文文本缩进 2 Char"/>
    <w:link w:val="22"/>
    <w:qFormat/>
    <w:uiPriority w:val="0"/>
    <w:rPr>
      <w:rFonts w:ascii="宋体" w:hAnsi="宋体" w:eastAsia="宋体" w:cs="Times New Roman"/>
      <w:kern w:val="0"/>
      <w:sz w:val="24"/>
      <w:szCs w:val="24"/>
      <w:lang w:bidi="he-IL"/>
    </w:rPr>
  </w:style>
  <w:style w:type="character" w:customStyle="1" w:styleId="53">
    <w:name w:val="普通(网站) Char"/>
    <w:qFormat/>
    <w:uiPriority w:val="0"/>
    <w:rPr>
      <w:rFonts w:ascii="宋体" w:hAnsi="宋体" w:eastAsia="宋体"/>
      <w:sz w:val="24"/>
      <w:szCs w:val="24"/>
      <w:lang w:val="en-US" w:eastAsia="zh-CN" w:bidi="ar-SA"/>
    </w:rPr>
  </w:style>
  <w:style w:type="character" w:customStyle="1" w:styleId="54">
    <w:name w:val="honor_time1"/>
    <w:autoRedefine/>
    <w:qFormat/>
    <w:uiPriority w:val="0"/>
    <w:rPr>
      <w:rFonts w:hint="default" w:ascii="Tahoma" w:hAnsi="Tahoma" w:cs="Tahoma"/>
      <w:color w:val="333333"/>
      <w:sz w:val="17"/>
      <w:szCs w:val="17"/>
      <w:u w:val="none"/>
    </w:rPr>
  </w:style>
  <w:style w:type="character" w:customStyle="1" w:styleId="55">
    <w:name w:val="标题 1 Char1"/>
    <w:qFormat/>
    <w:uiPriority w:val="0"/>
    <w:rPr>
      <w:rFonts w:eastAsia="宋体"/>
      <w:b/>
      <w:kern w:val="44"/>
      <w:sz w:val="44"/>
      <w:lang w:bidi="ar-SA"/>
    </w:rPr>
  </w:style>
  <w:style w:type="character" w:customStyle="1" w:styleId="56">
    <w:name w:val="文档结构图 Char1"/>
    <w:qFormat/>
    <w:uiPriority w:val="0"/>
    <w:rPr>
      <w:rFonts w:ascii="宋体" w:hAnsi="Times New Roman" w:eastAsia="宋体" w:cs="Times New Roman"/>
      <w:sz w:val="18"/>
      <w:szCs w:val="18"/>
    </w:rPr>
  </w:style>
  <w:style w:type="character" w:customStyle="1" w:styleId="57">
    <w:name w:val="正文首行缩进 Char"/>
    <w:link w:val="35"/>
    <w:qFormat/>
    <w:uiPriority w:val="0"/>
  </w:style>
  <w:style w:type="character" w:customStyle="1" w:styleId="58">
    <w:name w:val="批注主题 Char"/>
    <w:link w:val="34"/>
    <w:qFormat/>
    <w:uiPriority w:val="0"/>
    <w:rPr>
      <w:rFonts w:ascii="Times New Roman" w:hAnsi="Times New Roman" w:eastAsia="宋体" w:cs="Times New Roman"/>
      <w:b/>
      <w:bCs/>
      <w:szCs w:val="24"/>
    </w:rPr>
  </w:style>
  <w:style w:type="character" w:customStyle="1" w:styleId="59">
    <w:name w:val="正文文本 3 Char"/>
    <w:link w:val="14"/>
    <w:qFormat/>
    <w:uiPriority w:val="0"/>
    <w:rPr>
      <w:rFonts w:ascii="Times New Roman" w:hAnsi="Times New Roman" w:eastAsia="宋体" w:cs="Times New Roman"/>
      <w:sz w:val="16"/>
      <w:szCs w:val="16"/>
    </w:rPr>
  </w:style>
  <w:style w:type="character" w:customStyle="1" w:styleId="60">
    <w:name w:val="纯文本 Char"/>
    <w:link w:val="2"/>
    <w:autoRedefine/>
    <w:qFormat/>
    <w:uiPriority w:val="0"/>
    <w:rPr>
      <w:rFonts w:ascii="宋体" w:hAnsi="Roman 10cpi" w:eastAsia="宋体" w:cs="Times New Roman"/>
      <w:szCs w:val="20"/>
    </w:rPr>
  </w:style>
  <w:style w:type="character" w:customStyle="1" w:styleId="61">
    <w:name w:val="正文文本缩进 3 Char"/>
    <w:link w:val="29"/>
    <w:autoRedefine/>
    <w:qFormat/>
    <w:uiPriority w:val="0"/>
    <w:rPr>
      <w:rFonts w:ascii="Times New Roman" w:hAnsi="Times New Roman" w:eastAsia="宋体" w:cs="Times New Roman"/>
      <w:sz w:val="16"/>
      <w:szCs w:val="16"/>
    </w:rPr>
  </w:style>
  <w:style w:type="character" w:customStyle="1" w:styleId="62">
    <w:name w:val="注释标题 Char"/>
    <w:link w:val="8"/>
    <w:qFormat/>
    <w:uiPriority w:val="0"/>
    <w:rPr>
      <w:rFonts w:ascii="Times New Roman" w:hAnsi="Times New Roman" w:eastAsia="宋体" w:cs="Times New Roman"/>
      <w:szCs w:val="24"/>
    </w:rPr>
  </w:style>
  <w:style w:type="character" w:customStyle="1" w:styleId="63">
    <w:name w:val="11p1"/>
    <w:qFormat/>
    <w:uiPriority w:val="0"/>
    <w:rPr>
      <w:sz w:val="23"/>
    </w:rPr>
  </w:style>
  <w:style w:type="character" w:customStyle="1" w:styleId="64">
    <w:name w:val="文档结构图 Char"/>
    <w:link w:val="11"/>
    <w:qFormat/>
    <w:uiPriority w:val="0"/>
    <w:rPr>
      <w:rFonts w:ascii="宋体"/>
      <w:sz w:val="18"/>
      <w:szCs w:val="18"/>
    </w:rPr>
  </w:style>
  <w:style w:type="character" w:customStyle="1" w:styleId="65">
    <w:name w:val="正文文本 Char"/>
    <w:qFormat/>
    <w:uiPriority w:val="0"/>
    <w:rPr>
      <w:rFonts w:ascii="Times New Roman" w:hAnsi="Times New Roman" w:eastAsia="宋体" w:cs="Times New Roman"/>
      <w:szCs w:val="24"/>
    </w:rPr>
  </w:style>
  <w:style w:type="character" w:customStyle="1" w:styleId="66">
    <w:name w:val="正文文本 2 Char"/>
    <w:link w:val="32"/>
    <w:qFormat/>
    <w:uiPriority w:val="0"/>
    <w:rPr>
      <w:szCs w:val="24"/>
    </w:rPr>
  </w:style>
  <w:style w:type="character" w:customStyle="1" w:styleId="67">
    <w:name w:val="日期 Char1"/>
    <w:autoRedefine/>
    <w:qFormat/>
    <w:uiPriority w:val="0"/>
    <w:rPr>
      <w:rFonts w:ascii="Times New Roman" w:hAnsi="Times New Roman" w:eastAsia="宋体" w:cs="Times New Roman"/>
      <w:szCs w:val="24"/>
    </w:rPr>
  </w:style>
  <w:style w:type="character" w:customStyle="1" w:styleId="68">
    <w:name w:val="正文文本 2 Char1"/>
    <w:qFormat/>
    <w:uiPriority w:val="0"/>
    <w:rPr>
      <w:rFonts w:ascii="Times New Roman" w:hAnsi="Times New Roman" w:eastAsia="宋体" w:cs="Times New Roman"/>
      <w:szCs w:val="24"/>
    </w:rPr>
  </w:style>
  <w:style w:type="character" w:customStyle="1" w:styleId="69">
    <w:name w:val="批注文字 Char"/>
    <w:link w:val="12"/>
    <w:qFormat/>
    <w:uiPriority w:val="0"/>
    <w:rPr>
      <w:rFonts w:ascii="Times New Roman" w:hAnsi="Times New Roman" w:eastAsia="宋体" w:cs="Times New Roman"/>
      <w:szCs w:val="24"/>
    </w:rPr>
  </w:style>
  <w:style w:type="character" w:customStyle="1" w:styleId="70">
    <w:name w:val="正文首行缩进 Char1"/>
    <w:qFormat/>
    <w:uiPriority w:val="0"/>
    <w:rPr>
      <w:rFonts w:ascii="Times New Roman" w:hAnsi="Times New Roman" w:eastAsia="宋体" w:cs="Times New Roman"/>
      <w:szCs w:val="24"/>
    </w:rPr>
  </w:style>
  <w:style w:type="character" w:customStyle="1" w:styleId="71">
    <w:name w:val="zhengwen"/>
    <w:qFormat/>
    <w:uiPriority w:val="0"/>
  </w:style>
  <w:style w:type="character" w:customStyle="1" w:styleId="72">
    <w:name w:val="日期 Char"/>
    <w:link w:val="21"/>
    <w:qFormat/>
    <w:uiPriority w:val="0"/>
    <w:rPr>
      <w:sz w:val="24"/>
      <w:szCs w:val="24"/>
    </w:rPr>
  </w:style>
  <w:style w:type="character" w:customStyle="1" w:styleId="73">
    <w:name w:val="批注框文本 Char"/>
    <w:link w:val="23"/>
    <w:qFormat/>
    <w:uiPriority w:val="0"/>
    <w:rPr>
      <w:rFonts w:ascii="Times New Roman" w:hAnsi="Times New Roman" w:eastAsia="宋体" w:cs="Times New Roman"/>
      <w:sz w:val="18"/>
      <w:szCs w:val="18"/>
    </w:rPr>
  </w:style>
  <w:style w:type="character" w:customStyle="1" w:styleId="74">
    <w:name w:val="普通(网站) Char1"/>
    <w:link w:val="33"/>
    <w:qFormat/>
    <w:uiPriority w:val="0"/>
    <w:rPr>
      <w:rFonts w:ascii="宋体" w:hAnsi="宋体" w:eastAsia="宋体" w:cs="Times New Roman"/>
      <w:kern w:val="0"/>
      <w:sz w:val="24"/>
      <w:szCs w:val="24"/>
    </w:rPr>
  </w:style>
  <w:style w:type="character" w:customStyle="1" w:styleId="75">
    <w:name w:val="title14"/>
    <w:qFormat/>
    <w:uiPriority w:val="0"/>
  </w:style>
  <w:style w:type="character" w:customStyle="1" w:styleId="76">
    <w:name w:val="正文文本缩进 Char"/>
    <w:link w:val="16"/>
    <w:qFormat/>
    <w:uiPriority w:val="0"/>
    <w:rPr>
      <w:rFonts w:ascii="Times New Roman" w:hAnsi="Times New Roman" w:eastAsia="宋体" w:cs="Times New Roman"/>
      <w:szCs w:val="24"/>
    </w:rPr>
  </w:style>
  <w:style w:type="character" w:customStyle="1" w:styleId="77">
    <w:name w:val="注释标题 Char1"/>
    <w:basedOn w:val="38"/>
    <w:semiHidden/>
    <w:qFormat/>
    <w:uiPriority w:val="99"/>
  </w:style>
  <w:style w:type="character" w:customStyle="1" w:styleId="78">
    <w:name w:val="正文文本 Char1"/>
    <w:basedOn w:val="38"/>
    <w:link w:val="15"/>
    <w:semiHidden/>
    <w:qFormat/>
    <w:uiPriority w:val="99"/>
  </w:style>
  <w:style w:type="character" w:customStyle="1" w:styleId="79">
    <w:name w:val="正文首行缩进 Char2"/>
    <w:basedOn w:val="78"/>
    <w:semiHidden/>
    <w:qFormat/>
    <w:uiPriority w:val="99"/>
  </w:style>
  <w:style w:type="character" w:customStyle="1" w:styleId="80">
    <w:name w:val="正文文本 3 Char1"/>
    <w:basedOn w:val="38"/>
    <w:autoRedefine/>
    <w:semiHidden/>
    <w:qFormat/>
    <w:uiPriority w:val="99"/>
    <w:rPr>
      <w:sz w:val="16"/>
      <w:szCs w:val="16"/>
    </w:rPr>
  </w:style>
  <w:style w:type="character" w:customStyle="1" w:styleId="81">
    <w:name w:val="批注文字 Char1"/>
    <w:basedOn w:val="38"/>
    <w:autoRedefine/>
    <w:semiHidden/>
    <w:qFormat/>
    <w:uiPriority w:val="99"/>
  </w:style>
  <w:style w:type="character" w:customStyle="1" w:styleId="82">
    <w:name w:val="批注主题 Char1"/>
    <w:basedOn w:val="81"/>
    <w:autoRedefine/>
    <w:semiHidden/>
    <w:qFormat/>
    <w:uiPriority w:val="99"/>
    <w:rPr>
      <w:b/>
      <w:bCs/>
    </w:rPr>
  </w:style>
  <w:style w:type="character" w:customStyle="1" w:styleId="83">
    <w:name w:val="纯文本 Char1"/>
    <w:basedOn w:val="38"/>
    <w:semiHidden/>
    <w:qFormat/>
    <w:uiPriority w:val="99"/>
    <w:rPr>
      <w:rFonts w:ascii="宋体" w:hAnsi="Courier New" w:eastAsia="宋体" w:cs="Courier New"/>
      <w:szCs w:val="21"/>
    </w:rPr>
  </w:style>
  <w:style w:type="character" w:customStyle="1" w:styleId="84">
    <w:name w:val="称呼 Char1"/>
    <w:basedOn w:val="38"/>
    <w:autoRedefine/>
    <w:semiHidden/>
    <w:qFormat/>
    <w:uiPriority w:val="99"/>
  </w:style>
  <w:style w:type="character" w:customStyle="1" w:styleId="85">
    <w:name w:val="文档结构图 Char2"/>
    <w:basedOn w:val="38"/>
    <w:autoRedefine/>
    <w:semiHidden/>
    <w:qFormat/>
    <w:uiPriority w:val="99"/>
    <w:rPr>
      <w:rFonts w:ascii="宋体" w:eastAsia="宋体"/>
      <w:sz w:val="18"/>
      <w:szCs w:val="18"/>
    </w:rPr>
  </w:style>
  <w:style w:type="character" w:customStyle="1" w:styleId="86">
    <w:name w:val="正文文本缩进 Char1"/>
    <w:basedOn w:val="38"/>
    <w:semiHidden/>
    <w:qFormat/>
    <w:uiPriority w:val="99"/>
  </w:style>
  <w:style w:type="paragraph" w:customStyle="1" w:styleId="87">
    <w:name w:val="Char"/>
    <w:basedOn w:val="11"/>
    <w:autoRedefine/>
    <w:qFormat/>
    <w:uiPriority w:val="0"/>
    <w:pPr>
      <w:shd w:val="clear" w:color="auto" w:fill="000080"/>
    </w:pPr>
    <w:rPr>
      <w:rFonts w:ascii="Tahoma" w:hAnsi="Tahoma" w:cs="Tahoma"/>
      <w:szCs w:val="24"/>
    </w:rPr>
  </w:style>
  <w:style w:type="paragraph" w:customStyle="1" w:styleId="88">
    <w:name w:val="样式6"/>
    <w:basedOn w:val="6"/>
    <w:next w:val="6"/>
    <w:qFormat/>
    <w:uiPriority w:val="0"/>
    <w:pPr>
      <w:spacing w:line="372" w:lineRule="auto"/>
    </w:pPr>
    <w:rPr>
      <w:bCs w:val="0"/>
      <w:szCs w:val="20"/>
    </w:rPr>
  </w:style>
  <w:style w:type="paragraph" w:customStyle="1" w:styleId="89">
    <w:name w:val="xl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Arial Unicode MS" w:eastAsia="楷体_GB2312" w:cs="Times New Roman"/>
      <w:color w:val="000000"/>
      <w:kern w:val="0"/>
      <w:sz w:val="18"/>
      <w:szCs w:val="18"/>
    </w:rPr>
  </w:style>
  <w:style w:type="character" w:customStyle="1" w:styleId="90">
    <w:name w:val="正文文本 2 Char2"/>
    <w:basedOn w:val="38"/>
    <w:autoRedefine/>
    <w:semiHidden/>
    <w:qFormat/>
    <w:uiPriority w:val="99"/>
  </w:style>
  <w:style w:type="paragraph" w:customStyle="1" w:styleId="91">
    <w:name w:val="xl2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92">
    <w:name w:val="列出段落1"/>
    <w:basedOn w:val="1"/>
    <w:qFormat/>
    <w:uiPriority w:val="34"/>
    <w:pPr>
      <w:ind w:firstLine="420" w:firstLineChars="200"/>
    </w:pPr>
    <w:rPr>
      <w:rFonts w:ascii="Times New Roman" w:hAnsi="Times New Roman" w:eastAsia="宋体" w:cs="Times New Roman"/>
      <w:szCs w:val="24"/>
    </w:rPr>
  </w:style>
  <w:style w:type="character" w:customStyle="1" w:styleId="93">
    <w:name w:val="批注框文本 Char1"/>
    <w:basedOn w:val="38"/>
    <w:autoRedefine/>
    <w:semiHidden/>
    <w:qFormat/>
    <w:uiPriority w:val="99"/>
    <w:rPr>
      <w:sz w:val="18"/>
      <w:szCs w:val="18"/>
    </w:rPr>
  </w:style>
  <w:style w:type="character" w:customStyle="1" w:styleId="94">
    <w:name w:val="正文文本缩进 3 Char1"/>
    <w:basedOn w:val="38"/>
    <w:semiHidden/>
    <w:qFormat/>
    <w:uiPriority w:val="99"/>
    <w:rPr>
      <w:sz w:val="16"/>
      <w:szCs w:val="16"/>
    </w:rPr>
  </w:style>
  <w:style w:type="character" w:customStyle="1" w:styleId="95">
    <w:name w:val="日期 Char2"/>
    <w:basedOn w:val="38"/>
    <w:semiHidden/>
    <w:qFormat/>
    <w:uiPriority w:val="99"/>
  </w:style>
  <w:style w:type="paragraph" w:customStyle="1" w:styleId="96">
    <w:name w:val="Char Char Char"/>
    <w:basedOn w:val="1"/>
    <w:autoRedefine/>
    <w:qFormat/>
    <w:uiPriority w:val="0"/>
    <w:pPr>
      <w:widowControl/>
      <w:spacing w:after="160" w:line="240" w:lineRule="exact"/>
      <w:jc w:val="left"/>
    </w:pPr>
    <w:rPr>
      <w:rFonts w:ascii="Times New Roman" w:hAnsi="Times New Roman" w:eastAsia="宋体" w:cs="Times New Roman"/>
      <w:szCs w:val="20"/>
    </w:rPr>
  </w:style>
  <w:style w:type="paragraph" w:customStyle="1" w:styleId="97">
    <w:name w:val="样式4"/>
    <w:basedOn w:val="6"/>
    <w:qFormat/>
    <w:uiPriority w:val="0"/>
    <w:pPr>
      <w:spacing w:line="372" w:lineRule="auto"/>
    </w:pPr>
    <w:rPr>
      <w:bCs w:val="0"/>
      <w:szCs w:val="20"/>
    </w:rPr>
  </w:style>
  <w:style w:type="paragraph" w:customStyle="1" w:styleId="98">
    <w:name w:val="样式5"/>
    <w:basedOn w:val="6"/>
    <w:qFormat/>
    <w:uiPriority w:val="0"/>
    <w:pPr>
      <w:spacing w:line="372" w:lineRule="auto"/>
    </w:pPr>
    <w:rPr>
      <w:bCs w:val="0"/>
      <w:szCs w:val="20"/>
    </w:rPr>
  </w:style>
  <w:style w:type="character" w:customStyle="1" w:styleId="99">
    <w:name w:val="正文文本缩进 2 Char1"/>
    <w:basedOn w:val="38"/>
    <w:semiHidden/>
    <w:qFormat/>
    <w:uiPriority w:val="99"/>
  </w:style>
  <w:style w:type="paragraph" w:customStyle="1" w:styleId="100">
    <w:name w:val="默认段落字体 Para Char Char Char Char Char Char Char Char Char Char"/>
    <w:basedOn w:val="1"/>
    <w:autoRedefine/>
    <w:qFormat/>
    <w:uiPriority w:val="0"/>
    <w:pPr>
      <w:widowControl/>
    </w:pPr>
    <w:rPr>
      <w:rFonts w:ascii="Times New Roman" w:hAnsi="Times New Roman" w:eastAsia="宋体" w:cs="Times New Roman"/>
      <w:szCs w:val="20"/>
    </w:rPr>
  </w:style>
  <w:style w:type="paragraph" w:customStyle="1" w:styleId="101">
    <w:name w:val="默认段落字体 Para Char Char Char Char"/>
    <w:basedOn w:val="1"/>
    <w:qFormat/>
    <w:uiPriority w:val="0"/>
    <w:pPr>
      <w:snapToGrid w:val="0"/>
    </w:pPr>
    <w:rPr>
      <w:rFonts w:ascii="Arial" w:hAnsi="Arial" w:eastAsia="宋体" w:cs="Times New Roman"/>
      <w:szCs w:val="21"/>
    </w:rPr>
  </w:style>
  <w:style w:type="paragraph" w:customStyle="1" w:styleId="102">
    <w:name w:val="style8"/>
    <w:basedOn w:val="1"/>
    <w:qFormat/>
    <w:uiPriority w:val="0"/>
    <w:pPr>
      <w:widowControl/>
      <w:spacing w:before="100" w:beforeAutospacing="1" w:after="100" w:afterAutospacing="1"/>
      <w:jc w:val="left"/>
    </w:pPr>
    <w:rPr>
      <w:rFonts w:ascii="宋体" w:hAnsi="宋体" w:eastAsia="宋体" w:cs="Times New Roman"/>
      <w:color w:val="666666"/>
      <w:kern w:val="0"/>
      <w:sz w:val="24"/>
      <w:szCs w:val="24"/>
    </w:rPr>
  </w:style>
  <w:style w:type="paragraph" w:customStyle="1" w:styleId="103">
    <w:name w:val="表头"/>
    <w:basedOn w:val="9"/>
    <w:next w:val="1"/>
    <w:autoRedefine/>
    <w:qFormat/>
    <w:uiPriority w:val="0"/>
    <w:pPr>
      <w:autoSpaceDE w:val="0"/>
      <w:autoSpaceDN w:val="0"/>
      <w:adjustRightInd w:val="0"/>
      <w:spacing w:line="300" w:lineRule="exact"/>
      <w:ind w:firstLine="0" w:firstLineChars="0"/>
    </w:pPr>
    <w:rPr>
      <w:rFonts w:ascii="宋体"/>
      <w:spacing w:val="-8"/>
      <w:sz w:val="24"/>
      <w:szCs w:val="18"/>
      <w:lang w:val="zh-CN"/>
    </w:rPr>
  </w:style>
  <w:style w:type="paragraph" w:customStyle="1" w:styleId="104">
    <w:name w:val="xl2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宋体" w:cs="Times New Roman"/>
      <w:b/>
      <w:bCs/>
      <w:kern w:val="0"/>
      <w:szCs w:val="21"/>
    </w:rPr>
  </w:style>
  <w:style w:type="paragraph" w:customStyle="1" w:styleId="105">
    <w:name w:val="Char1 Char Char Char"/>
    <w:basedOn w:val="1"/>
    <w:autoRedefine/>
    <w:qFormat/>
    <w:uiPriority w:val="0"/>
    <w:rPr>
      <w:rFonts w:ascii="Tahoma" w:hAnsi="Tahoma" w:eastAsia="宋体" w:cs="Times New Roman"/>
      <w:sz w:val="24"/>
      <w:szCs w:val="20"/>
    </w:rPr>
  </w:style>
  <w:style w:type="paragraph" w:customStyle="1" w:styleId="106">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7">
    <w:name w:val="样式2"/>
    <w:basedOn w:val="1"/>
    <w:qFormat/>
    <w:uiPriority w:val="0"/>
    <w:pPr>
      <w:ind w:firstLine="612"/>
    </w:pPr>
    <w:rPr>
      <w:rFonts w:hint="eastAsia" w:ascii="宋体" w:hAnsi="宋体" w:eastAsia="宋体" w:cs="Times New Roman"/>
      <w:sz w:val="28"/>
      <w:szCs w:val="20"/>
    </w:rPr>
  </w:style>
  <w:style w:type="paragraph" w:customStyle="1" w:styleId="108">
    <w:name w:val="普通文件"/>
    <w:basedOn w:val="1"/>
    <w:qFormat/>
    <w:uiPriority w:val="0"/>
    <w:rPr>
      <w:rFonts w:ascii="Times New Roman" w:hAnsi="Times New Roman" w:eastAsia="宋体" w:cs="Times New Roman"/>
      <w:color w:val="0000FF"/>
      <w:sz w:val="24"/>
      <w:szCs w:val="24"/>
    </w:rPr>
  </w:style>
  <w:style w:type="paragraph" w:customStyle="1" w:styleId="109">
    <w:name w:val="水印"/>
    <w:basedOn w:val="1"/>
    <w:qFormat/>
    <w:uiPriority w:val="0"/>
    <w:pPr>
      <w:adjustRightInd w:val="0"/>
      <w:spacing w:line="240" w:lineRule="atLeast"/>
      <w:textAlignment w:val="baseline"/>
    </w:pPr>
    <w:rPr>
      <w:rFonts w:ascii="Times New Roman" w:hAnsi="Times New Roman" w:eastAsia="宋体" w:cs="Times New Roman"/>
      <w:kern w:val="0"/>
      <w:szCs w:val="20"/>
    </w:rPr>
  </w:style>
  <w:style w:type="paragraph" w:customStyle="1" w:styleId="110">
    <w:name w:val="Char Char1 Char Char Char Char 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1">
    <w:name w:val="样式3"/>
    <w:basedOn w:val="6"/>
    <w:qFormat/>
    <w:uiPriority w:val="0"/>
    <w:pPr>
      <w:spacing w:line="372" w:lineRule="auto"/>
    </w:pPr>
    <w:rPr>
      <w:bCs w:val="0"/>
      <w:szCs w:val="20"/>
    </w:rPr>
  </w:style>
  <w:style w:type="paragraph" w:customStyle="1" w:styleId="112">
    <w:name w:val="_Style 17"/>
    <w:basedOn w:val="1"/>
    <w:qFormat/>
    <w:uiPriority w:val="0"/>
    <w:rPr>
      <w:rFonts w:ascii="Tahoma" w:hAnsi="Tahoma" w:eastAsia="宋体" w:cs="Times New Roman"/>
      <w:sz w:val="24"/>
      <w:szCs w:val="20"/>
    </w:rPr>
  </w:style>
  <w:style w:type="paragraph" w:customStyle="1" w:styleId="113">
    <w:name w:val="插入表格"/>
    <w:next w:val="1"/>
    <w:qFormat/>
    <w:uiPriority w:val="0"/>
    <w:pPr>
      <w:widowControl w:val="0"/>
      <w:adjustRightInd w:val="0"/>
      <w:spacing w:before="120" w:after="120"/>
      <w:jc w:val="center"/>
    </w:pPr>
    <w:rPr>
      <w:rFonts w:ascii="Times New Roman" w:hAnsi="Times New Roman" w:eastAsia="宋体" w:cs="Times New Roman"/>
      <w:sz w:val="21"/>
      <w:lang w:val="en-US" w:eastAsia="zh-CN" w:bidi="ar-SA"/>
    </w:rPr>
  </w:style>
  <w:style w:type="paragraph" w:customStyle="1" w:styleId="114">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115">
    <w:name w:val="p0"/>
    <w:basedOn w:val="1"/>
    <w:qFormat/>
    <w:uiPriority w:val="0"/>
    <w:pPr>
      <w:widowControl/>
    </w:pPr>
    <w:rPr>
      <w:rFonts w:ascii="Calibri" w:hAnsi="Calibri" w:eastAsia="宋体" w:cs="宋体"/>
      <w:kern w:val="0"/>
      <w:szCs w:val="21"/>
    </w:rPr>
  </w:style>
  <w:style w:type="paragraph" w:customStyle="1" w:styleId="116">
    <w:name w:val="样式1"/>
    <w:basedOn w:val="117"/>
    <w:qFormat/>
    <w:uiPriority w:val="0"/>
    <w:pPr>
      <w:spacing w:line="360" w:lineRule="auto"/>
    </w:pPr>
    <w:rPr>
      <w:rFonts w:ascii="仿宋_GB2312" w:hAnsi="宋体" w:eastAsia="仿宋_GB2312"/>
    </w:rPr>
  </w:style>
  <w:style w:type="paragraph" w:customStyle="1" w:styleId="117">
    <w:name w:val="章标题"/>
    <w:next w:val="118"/>
    <w:qFormat/>
    <w:uiPriority w:val="0"/>
    <w:pPr>
      <w:numPr>
        <w:ilvl w:val="0"/>
        <w:numId w:val="1"/>
      </w:numPr>
      <w:spacing w:beforeLines="100" w:afterLines="100"/>
      <w:jc w:val="both"/>
      <w:outlineLvl w:val="1"/>
    </w:pPr>
    <w:rPr>
      <w:rFonts w:ascii="黑体" w:hAnsi="Times New Roman" w:eastAsia="黑体" w:cs="Times New Roman"/>
      <w:sz w:val="21"/>
      <w:szCs w:val="22"/>
      <w:lang w:val="en-US" w:eastAsia="zh-CN" w:bidi="ar-SA"/>
    </w:rPr>
  </w:style>
  <w:style w:type="paragraph" w:customStyle="1" w:styleId="118">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paragraph" w:customStyle="1" w:styleId="119">
    <w:name w:val="Char1 Char Char Char1"/>
    <w:basedOn w:val="1"/>
    <w:qFormat/>
    <w:uiPriority w:val="0"/>
    <w:rPr>
      <w:rFonts w:ascii="Tahoma" w:hAnsi="Tahoma" w:eastAsia="宋体" w:cs="Times New Roman"/>
      <w:sz w:val="24"/>
      <w:szCs w:val="20"/>
    </w:rPr>
  </w:style>
  <w:style w:type="paragraph" w:customStyle="1" w:styleId="120">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21">
    <w:name w:val="列出段落2"/>
    <w:basedOn w:val="1"/>
    <w:qFormat/>
    <w:uiPriority w:val="0"/>
    <w:pPr>
      <w:widowControl/>
      <w:adjustRightInd w:val="0"/>
      <w:snapToGrid w:val="0"/>
      <w:spacing w:before="100" w:beforeAutospacing="1" w:after="200"/>
      <w:ind w:firstLine="420" w:firstLineChars="200"/>
      <w:jc w:val="left"/>
    </w:pPr>
    <w:rPr>
      <w:rFonts w:ascii="Tahoma" w:hAnsi="Tahoma" w:eastAsia="微软雅黑" w:cs="Tahoma"/>
      <w:kern w:val="0"/>
      <w:sz w:val="22"/>
    </w:rPr>
  </w:style>
  <w:style w:type="paragraph" w:customStyle="1" w:styleId="122">
    <w:name w:val="一级条标题"/>
    <w:next w:val="118"/>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23">
    <w:name w:val="二级无"/>
    <w:basedOn w:val="124"/>
    <w:qFormat/>
    <w:uiPriority w:val="0"/>
    <w:pPr>
      <w:spacing w:beforeLines="0" w:afterLines="0"/>
    </w:pPr>
    <w:rPr>
      <w:rFonts w:ascii="宋体" w:eastAsia="宋体"/>
    </w:rPr>
  </w:style>
  <w:style w:type="paragraph" w:customStyle="1" w:styleId="124">
    <w:name w:val="二级条标题"/>
    <w:basedOn w:val="122"/>
    <w:next w:val="118"/>
    <w:qFormat/>
    <w:uiPriority w:val="0"/>
    <w:pPr>
      <w:numPr>
        <w:ilvl w:val="2"/>
      </w:numPr>
      <w:spacing w:before="50" w:after="50"/>
      <w:outlineLvl w:val="3"/>
    </w:pPr>
  </w:style>
  <w:style w:type="paragraph" w:customStyle="1" w:styleId="125">
    <w:name w:val="列出段落11"/>
    <w:basedOn w:val="1"/>
    <w:qFormat/>
    <w:uiPriority w:val="34"/>
    <w:pPr>
      <w:ind w:firstLine="420" w:firstLineChars="200"/>
    </w:pPr>
  </w:style>
  <w:style w:type="paragraph" w:customStyle="1" w:styleId="126">
    <w:name w:val="XN图标"/>
    <w:basedOn w:val="1"/>
    <w:qFormat/>
    <w:uiPriority w:val="0"/>
    <w:pPr>
      <w:spacing w:line="264" w:lineRule="auto"/>
      <w:jc w:val="center"/>
    </w:pPr>
    <w:rPr>
      <w:rFonts w:ascii="仿宋" w:hAnsi="仿宋" w:eastAsia="仿宋"/>
      <w:color w:val="000000"/>
    </w:rPr>
  </w:style>
  <w:style w:type="paragraph" w:customStyle="1" w:styleId="127">
    <w:name w:val="XN表头"/>
    <w:basedOn w:val="10"/>
    <w:qFormat/>
    <w:uiPriority w:val="99"/>
    <w:pPr>
      <w:spacing w:beforeLines="30" w:afterLines="20"/>
      <w:jc w:val="center"/>
    </w:pPr>
    <w:rPr>
      <w:rFonts w:ascii="Cambria" w:hAnsi="Cambria" w:eastAsia="仿宋" w:cs="Times New Roman"/>
      <w:b/>
      <w:sz w:val="24"/>
    </w:rPr>
  </w:style>
  <w:style w:type="character" w:customStyle="1" w:styleId="128">
    <w:name w:val="font21"/>
    <w:basedOn w:val="38"/>
    <w:qFormat/>
    <w:uiPriority w:val="0"/>
    <w:rPr>
      <w:rFonts w:hint="eastAsia" w:ascii="宋体" w:hAnsi="宋体" w:eastAsia="宋体" w:cs="宋体"/>
      <w:color w:val="000000"/>
      <w:sz w:val="21"/>
      <w:szCs w:val="21"/>
      <w:u w:val="none"/>
    </w:rPr>
  </w:style>
  <w:style w:type="paragraph" w:customStyle="1" w:styleId="129">
    <w:name w:val="列出段落3"/>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BC29E8-6848-407E-88C2-7238538E3E1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5908</Words>
  <Characters>6047</Characters>
  <Lines>46</Lines>
  <Paragraphs>13</Paragraphs>
  <TotalTime>0</TotalTime>
  <ScaleCrop>false</ScaleCrop>
  <LinksUpToDate>false</LinksUpToDate>
  <CharactersWithSpaces>6060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2019-11-02T07:43:00Z</dcterms:created>
  <dc:creator>zhaoxiaohong</dc:creator>
  <cp:lastModifiedBy>W.</cp:lastModifiedBy>
  <cp:lastPrinted>2019-12-24T03:48:00Z</cp:lastPrinted>
  <dcterms:modified xsi:type="dcterms:W3CDTF">2026-06-05T08:00:27Z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8ED38A56B8494B26A883D20F7C21B1E6_13</vt:lpwstr>
  </property>
  <property fmtid="{D5CDD505-2E9C-101B-9397-08002B2CF9AE}" pid="4" name="KSOTemplateDocerSaveRecord">
    <vt:lpwstr>eyJoZGlkIjoiM2VmYTNkMmNjOGNmODA5MzU5ZTNhOTVmOTlmNzU4YTkiLCJ1c2VySWQiOiI1NDk1ODU0MDgifQ==</vt:lpwstr>
  </property>
</Properties>
</file>